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cfc7" w14:textId="6ecc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Методологию формирования системы ключевых показателей и индикаторов, характеризующих влияние процессов евразийской экономической интеграции на условия ведения предпринимательской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7 июля 2025 года № 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Методологию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ключевых показателей и индикаторов, характеризующих влияние процессов евразийской экономической интеграции на условия ведения предпринимательской деятельности, утвержденную распоряжением Коллегии Евразийской экономической комиссии от 11 октября 2022 г. № 179,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2025 г. № 84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Методологию формирования системы ключевых показателей и индикаторов, характеризующих влияние процессов евразийской экономической интеграции на условия ведения предпринимательской деятельности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"2025" заменить цифрами "2030".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заключительную часть ежегодного доклада Комиссии о результатах мониторинга фактических значений индикаторов включается аналитическая информация, содержащая выводы о влиянии процессов евразийской экономической интеграции на условия ведения предпринимательской деятельности в отдельных государствах-членах и (или) в Союзе в целом.".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ключевых показателей, характеризующих влияние процессов евразийской экономической интеграции на условия ведения предпринимательской деятельности (приложение к указанной Методологии):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головке таблицы графу "Фактическое значение индикатора" дополнить графами "2026 год", "2027 год", "2028 год", "2029 год", "2030 год";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пункте 1.7: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"Показатель, единица измерения" текст изложить в следующей редакции: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"Количество одобренных Советом Комиссии совместных кооперационных проектов в отраслях промышленности при реализации механизма оказания финансового содействия в соответствии с Решением Высшего Евразийского экономического совета от 25 мая 2023 г. № 4, единиц";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"Ответственный за предоставление информации о значениях индикатора" текст изложить в следующей редакции: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"Комиссия";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пункте 2.1 в графе "Показатель, единица измерения" слова "государствами-членами" заменить словами "государствами – членами Союза (далее – государства-члены)";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пункт 9 примечаний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Значения показателя, указанного в пункте 1.7 настоящего Перечня, определяются Комиссией начиная с 2025 года.".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