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cf5" w14:textId="c3d2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пилотного проекта по применению электронных международных транспортных накладных e-CMR при осуществлении международных грузовых автомобильных перевозок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марта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ноября 2024 г. № 37 и в целях содействия реализации пилотного проекта по применению электронных международных транспортных накладных e-CMR при осуществлении международных грузовых автомобильных перевозок в государствах – членах Евразийского экономического союза (далее – пилотный проект):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реализации пилотного проекта (далее – рабочая группа).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рабочей группы является член Коллегии (Министр) по энергетике и инфраструктуре Евразийской экономической комиссии.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регламент работы рабочей группы;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рабочей группы, сформированный на основании предложений государств – членов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