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d6de" w14:textId="d2dd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13 декабря 2017 г. №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декабря 2025 года № 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344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декабря 2017 г. № 170 "О некоторых вопросах применения таможенной процедуры таможенного транзита"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но не ранее 1 июля 2026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г. № 139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13 декабря 2017 г. № 170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> 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совершения таможенных операций, связанных с установлением, изменением и соблюдением маршрута перевозки товаров, установленного в отношении товаров, помещенных под таможенную процедуру таможенного транзита.".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Дополнить Порядком совершения таможенных операций, связанных с установлением, изменением и соблюдением маршрута перевозки товаров, установленного в отношении товаров, помещенных под таможенную процедуру таможенного транзита, следующего содержания: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2025 г. № 139 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совершения таможенных операций, связанных с установлением, изменением и соблюдением маршрута перевозки товаров, установленного в отношении товаров, помещенных под таможенную процедуру таможенного транзита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определяет последовательность совершения таможенных операций, связанных с установлением, изменением и соблюдением маршрута перевозки товаров, установленного в отношении товаров, помещенных под таможенную процедуру таможенного транзита и перевозимых (транспортируемых) по таможенной территории Евразийского экономического союза автомобильным транспортом.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настоящего Порядка не применяются в отношении тяжеловесных и (или) крупногабаритных транспортных средств, движение которых по автомобильным дорогам предусматривает наличие специального разрешения и согласование их маршрута в соответствии с законодательством государств – членов Евразийского экономического союза (далее – государства-члены) в сфере транспорта.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об установлении маршрута перевозки товаров принимается должностным лицом таможенного органа отправления исходя из сведений, указанных в транспортных (перевозочных) документах, в соответствии с принципом выборочности объектов таможенного контроля и мер, обеспечивающих проведение такого контроля, с использованием системы управления рисками, а также с учетом следующих документов и сведений (при наличии):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согласованного решения таможенных органов государств-членов, на территориях которых находятся таможенный орган отправления и таможенный орган назначения, а также таможенных органов государств-членов, по территориям которых предполагается осуществление перевозки товаров;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рассмотрения обращения таможенного органа государства-члена, по территории которого предполагается осуществление перевозки товаров, об установлении маршрута перевозки товаров.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навигационных пломб для отслеживания перевозок в соответствии с Соглашением о применении в Евразийском экономическом союзе навигационных пломб для отслеживания перевозок от 19 апреля 2022 года маршрут перевозки товаров не устанавливается, если иное решение не принято с использованием системы управления рисками, а также с учетом наличия документов и сведений, указанных в абзацах втором и третьем настоящего пункта.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принятия решения об установлении маршрута перевозки товаров при выпуске товаров в соответствии с таможенной процедурой таможенного транзита должностное лицо таможенного органа отправления: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совершает таможенные операции,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совершения таможенных операций, связанных с выпуском товаров, отказом в выпуске товаров и аннулированием выпуска товаров, оформления решений о приостановлении срока выпуска товаров, продлении срока такого приостановления и об их отмене, а также уведомления о принятии таких решений, утвержденного Решением Коллегии Евразийской экономической комиссии от 19 декабря 2017 г. № 188;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проставляет на транзитной декларации или иных документах, используемых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(далее – Кодекс) в качестве транзитной декларации (далее – транзитная декларация), отметку "Маршрут: " с указанием для промежуточного таможенного органа (промежуточных таможенных органов) кода в соответствии с классификатором таможенных органов государств – членов Евразийского экономического союза, утвержденным Решением Коллегии Евразийской экономической комиссии от 2 сентября 2019 г. № 145 (далее – код промежуточного таможенного органа), наименования, а также порядкового номера с учетом установленной очередности соблюдения маршрута перевозки товаров, даты в формате дд.мм.гг (день, месяц, 2 последние цифры календарного года) и заверением такой отметки подписью и оттиском личной номерной печати должностного лица таможенного органа (в случае, если в таможенный орган отправления транзитная декларация подавалась в виде документа на бумажном носителе).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изменения установленного таможенным органом отправления маршрута перевозки товаров перевозчик при наступлении обстоятельств, препятствующих соблюдению им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подает до истечения установленного таможенным органом отправления срока таможенного транзита мотивированное обращение об изменении маршрута перевозки товаров (далее – обращение)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в таможенный орган отправления или в таможенный орган, который находится по пути его следования, уполномоченный на совершение таможенных операций, связанных с изменением маршрута перевозки товаров, и в регионе деятельности которого находятся товары и транспортное средство.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обращения фактическое прибытие перевозчика в соответствующий таможенный орган и предъявление этому таможенному органу транспортного средства и (или) товаров не требуются.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Обращение должно содержать следующие сведения: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сведения о перевозчике: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или краткое (сокращенное) наименование юридического лица, организации, не являющейся юридическим лицом (далее – организация), либо фамилия, имя, отчество (при наличии) физического лица;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номер (при наличии). Для целей применения настоящего Порядка под налоговым номером понимается: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Армения – учетный номер налогоплательщика (УНН) (за исключением физического лица, не являющегося индивидуальным предпринимателем), либо номерной знак общественных услуг (НЗОУ) для физического лица, либо уникальный идентификационный номер для иностранного физического лица;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Беларусь – учетный номер плательщика (УНП) (за исключением физического лица, не являющегося индивидуальным предпринимателем) либо идентификационный номер физического лица (при наличии);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Казахстан – бизнес-идентификационный номер (БИН) для организации (филиала и представительства) и индивидуального предпринимателя, осуществляющего деятельность в виде совместного предпринимательства, либо индивидуальный идентификационный номер (ИИН) для физического лица, в том числе для индивидуального предпринимателя, осуществляющего деятельность в виде личного предпринимательства, либо уникальный идентификационный номер (УИН) для иностранного физического лица;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Кыргызской Республике – идентификационный налоговый номер налогоплательщика (ИНН) для юридического лица или индивидуального предпринимателя либо персональный идентификационный номер (ПИН) для физического лица, осуществляющего коммерческую деятельность на территории Кыргызской Республики и не зарегистрированного в качестве индивидуального предпринимателя;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Федерации – идентификационный номер налогоплательщика (ИНН), а для юридического лица – также код причины постановки на учет (КПП) (для обособленного подразделения юридического лица проставляется КПП, присвоенный по месту нахождения обособленного подразделения);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(краткое наименование страны, административно-территориальная единица (регион, область, район и т. п.), населенный пункт, улица, номер дома, номер корпуса (строения), номер офиса (квартиры, комнаты)) места нахождения юридического лица, организации либо места жительства физического лица;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регистрационный номер транзитной декларации.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в качестве транзитной декларации книжки МДП или карнета АТА дополнительно указываются серия и номер книжки МДП или карнета АТА;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полное или краткое (сокращенное) наименование юридического лица, организации либо фамилия, имя, отчество (при наличии) физического лица, осуществляющих перевозку (транспортировку) товаров (за исключением случаев, когда такие сведения совпадают со сведениями, указанными в подпункте "а" настоящего пункта);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сведения об обстоятельствах, обусловивших необходимость изменения маршрута перевозки товаров (в соответствии с пунктом 8 настоящего Порядка);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сведения о месте нахождения товаров и транспортного средства (в том числе о регионе);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сведения о предполагаемом маршруте перевозки товаров с учетом транспортных (перевозочных) документов;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сведения о предпочтительном для перевозчика способе информирования о результатах рассмотрения обращения (например, по электронной почте, телефону и т. п., с указанием соответствующих адреса электронной почты, номера телефона).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если таможенному органу отправления транзитная декларация подавалась в виде документа на бумажном носителе и обращение подается в виде документа на бумажном носителе, к указанному обращению также прилагается транзитная декларация в виде документа на бумажном носителе или ее заверенная перевозчиком копия на бумажном носителе.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Обстоятельства, обусловившие необходимость изменения маршрута перевозки товаров, указываются в обращении и подтверждаются указываемыми в обращении ссылками на общедоступные источники информации (в том числе на сведения, размещенные в информационно-телекоммуникационной сети "Интернет") и (или) документами, которые представляются совместно с обращением: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виде электронных документов или электронных копий документов на бумажном носителе (в случае, если обращение направляется в виде электронного документа или в виде электронной копии документа на бумажном носителе);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виде документов на бумажном носителе (в случае, если обращение направляется в виде документа на бумажном носителе).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Должностное лицо таможенного органа, в который поступило обращение: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возможно короткие сроки, но не позднее 1 часа рабочего времени таможенного органа с момента поступления обращения, регистрирует его с использованием информационной системы таможенного органа путем присвоения регистрационного номера;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возможно короткие сроки, но не позднее 3 часов рабочего времени таможенного органа с момента регистрации обращения: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направляет, в том числе с использованием информационной системы таможенного органа, в таможенный орган отправления запрос о выпуске товаров в соответствии с таможенной процедурой таможенного транзита (в случае, если обращение поступило не в таможенный орган отправления и в информационной системе таможенного органа, в который поступило обращение, отсутствует такая информация);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изменении маршрута перевозки товаров либо об отказе в изменении такого маршрута.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Таможенный орган, в который поступило обращение, отказывает в изменении маршрута перевозки товаров в следующих случаях: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обращение поступило в таможенный орган, который не предусмотрен абзацем первым пункта 5 настоящего Порядка;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обращение поступило в таможенный орган после истечения срока таможенного транзита;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обращение подано не перевозчиком;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обращение не содержит сведения, указанные в подпунктах "а" – "е" пункта 6 настоящего Порядка, либо таможенным органом установлено, что представленные сведения, указанные в подпунктах "а" – "е" пункта 6 настоящего Порядка, являются недостоверными;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к обращению не приложена транзитная декларация в виде документа на бумажном носителе или ее заверенная перевозчиком копия на бумажном носителе (в случае, предусмотренном пунктом 7 настоящего Порядка);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отказ осуществлен на основании результатов применения системы управления рисками;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маршрут перевозки товаров установлен в соответствии с абзацами вторым и третьим пункта 3 настоящего Порядка (за исключением случаев, связанных с аварией, действием непреодолимой силы или иными обстоятельствами, препятствующими соблюдению перевозчиком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принятия решения об изменении маршрута перевозки товаров должностное лицо таможенного органа, в который поступило обращение, в срок, указанный в подпункте "б" пункта 9 настоящего Порядка: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вносит в информационную систему таможенного органа информацию об изменении маршрута перевозки товаров;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формирует в информационной системе таможенного органа сообщение об изменении маршрута перевозки товаров, которое направляется в таможенный орган отправления (в случае, если обращение поступило не в таможенный орган отправления), таможенный орган назначения, таможенные органы, в регионах деятельности которых были запланированы разгрузка, перегрузка (перевалка), иные грузовые операции с товарами, перевозимыми в соответствии с таможенной процедурой таможенного транзита, и (или) замена транспортных средств, перевозящих такие товары (далее – таможенные органы, в регионе деятельности которых запланированы грузовые операции и (или) замена транспортных средств), в промежуточные таможенные органы, определенные при установлении маршрута перевозки товаров, помещенных под таможенную процедуру таможенного транзита (в случае его установления), или при его изменении (далее – промежуточные таможенные органы);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информирует перевозчика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(в том числе с учетом сведений о предпочтительном способе информирования, указанном в обращении) об изменении маршрута перевозки товаров и возможности получения транзитной декларации или ее заверенной перевозчиком копии на бумажном носителе с отметкой "Маршрут изменен: " с указанием кодов промежуточных таможенных органов, определенных при изменении маршрута перевозки товаров, их наименований, порядковых номеров с учетом установленной очередности соблюдения маршрута перевозки товаров, даты в формате дд.мм.гг (день, месяц, 2 последние цифры календарного года) и заверением такой отметки подписью и оттиском личной номерной печати должностного лица таможенного органа (в случае, если к обращению прилагалась транзитная декларация в виде документа на бумажном носителе или ее заверенная перевозчиком копия на бумажном носителе), а также документов, указанных в пункте 8 настоящего Порядка (в случае, если такие документы представлялись на бумажном носителе).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если после направления сообщения, предусмотренного подпунктом "б" пункта 11 настоящего Порядка, выявлены расхождения между сведениями, содержащимися в таком сообщении, и документами и (или) сведениями (за исключением регистрационного номера транзитной декларации), которые были представлены для изменения маршрута перевозки товаров, таможенный орган, в который поступило обращение, осуществляет корректировку сведений в своей информационной системе в части устранения выявленных расхождений.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Такая корректировка осуществляется до завершения (прекращения) действия таможенной процедуры таможенного транзита по транзитной декларации, указанной в обращении.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информационной системе таможенного органа, в который поступило обращение, отсутствуют сведения о завершении (прекращении) действия таможенной процедуры таможенного транзита, такие сведения могут быть получены в том числе путем направления в таможенный орган отправления запроса о выпуске товаров в соответствии с таможенной процедурой таможенного транзита.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корректировки сведений таможенный орган в возможно короткие сроки, но не позднее 3 часов рабочего времени таможенного органа с момента выявления расхождений, формирует и направляет в таможенные органы, предусмотренные подпунктом "б" пункта 11 настоящего Порядка, сообщение об изменении сведений в сообщении об изменении маршрута перевозки товаров, установленного в отношении товаров, помещенных под таможенную процедуру таможенного транзита.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если после направления сообщения, предусмотренного подпунктом "б" пункта 11 настоящего Порядка, выявлены расхождения между регистрационным номером транзитной декларации, содержащимся в данном сообщении, и регистрационным номером транзитной декларации, указанным в обращении, таможенный орган, в который поступило такое обращение: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изменения в свою информационную систему в части устранения выявленных расхождений;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своей информационной системы формирует и направляет в таможенные органы, предусмотренные подпунктом "б" пункта 11 настоящего Порядка: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об аннулировании сообщения об изменении маршрута перевозки товаров, установленного в отношении товаров, помещенных под таможенную процедуру таможенного транзита;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сообщение об изменении маршрута перевозки товаров, установленного в отношении товаров, помещенных под таможенную процедуру таможенного транзита.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Действия, предусмотренные настоящим пунктом, производятся при условии отсутствия у таможенного органа, в который поступило обращение, сведений о завершении (прекращении) действия таможенной процедуры таможенного транзита по транзитной декларации, указанной в обращении, в возможно короткие сроки, но не позднее 3 часов рабочего времени таможенного органа с момента выявления расхождений.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принятия решения об отказе в изменении маршрута перевозки товаров должностное лицо таможенного органа, в который поступило обращение, в срок, указанный в подпункте "б" пункта 9 настоящего Порядка, информирует перевозчика об отказе в изменении маршрута перевозки товаров (с указанием причин отказа)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(в том числе с учетом сведений о предпочтительном способе информирования, указанном в обращении) и возможности получения: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копии обращения с отметкой об отказе в изменении маршрута перевозки товаров (с указанием причин отказа) и заверением такой отметки подписью и оттиском личной номерной печати должностного лица таможенного органа (в случае, если обращение подавалось в виде документа на бумажном носителе);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транзитной декларации или ее заверенной перевозчиком копии на бумажном носителе (в случае, если к обращению прилагалась транзитная декларация в виде документа на бумажном носителе или ее заверенная перевозчиком копия на бумажном носителе);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документов, указанных в пункте 8 настоящего Порядка (в случае, если такие документы представлялись на бумажном носителе).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подтверждения соблюдения маршрута перевозки товаров перевозчик: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представляет в промежуточный таможенный орган сведения о регистрационном номере транзитной декларации (в случае, если транзитная декларация представлялась в таможенный орган отправления в виде электронного документа) и транспортные (перевозочные) документы либо транзитную декларацию в виде документа на бумажном носителе (в случае, если транзитная декларация представлялась в таможенный орган отправления в виде документа на бумажном носителе);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размещает по требованию промежуточного таможенного органа для проведения таможенного контроля транспортное средство с товарами в зоне таможенного контроля, расположенной в регионе деятельности промежуточного таможенного органа, или в ином месте, указанном промежуточным таможенным органом.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Должностное лицо промежуточного таможенного органа в возможно короткие сроки, но не позднее 3 часов рабочего времени таможенного органа с момента представления сведений и документов, указанных в подпункте "а" пункта 15 настоящего Порядка: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направляет, в том числе с использованием информационной системы таможенного органа, в таможенный орган отправления запрос о выпуске товаров в соответствии с таможенной процедурой таможенного транзита (в случае, если в информационной системе промежуточного таможенного органа отсутствует такая информация);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вносит в информационную систему таможенного органа информацию о соблюдении маршрута перевозки товаров;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формирует в информационной системе таможенного органа сообщение о соблюдении маршрута перевозки товаров, которое направляется в таможенный орган отправления, таможенный орган назначения, таможенные органы, в регионе деятельности которых запланированы грузовые операции и (или) замена транспортных средств, промежуточные таможенные органы;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случае если транзитная декларация представлена в таможенный орган отправления в виде электронного документа и государство таможенного органа отправления совпадает с государством промежуточного таможенного органа, формирует и направляет с использованием информационной системы таможенного органа электронный документ, содержащий информацию о соблюдении маршрута перевозки товаров, перевозчику, а если перевозчик не выступал декларантом – декларанту либо таможенному представителю, осуществлявшим декларирование товаров, помещенных под таможенную процедуру таможенного транзита;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проставляет отметку "Товар проследовал" с указанием кода промежуточного таможенного органа, его наименования, даты в формате дд.мм.гг (день, месяц, 2 последние цифры календарного года) и заверяет такую отметку подписью и оттиском личной номерной печати должностного лица таможенного органа: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транзитной декларации (в случае, если транзитная декларация представлена в виде документа на бумажном носителе);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транспортных (перевозочных) документах (в случае, если транзитная декларация представлялась таможенному органу отправления в виде электронного документа).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если после направления сообщения, предусмотренного подпунктом "в" пункта 16 настоящего Порядка, выявлены расхождения между сведениями, содержащимися в данном сообщении, и документами и (или) сведениями (за исключением регистрационного номера транзитной декларации), которые были представлены для подтверждения соблюдения маршрута перевозки товаров, таможенный орган, направивший такое сообщение, осуществляет корректировку сведений в своей информационной системе в части устранения выявленных расхождений.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корректировка осуществляется до завершения (прекращения) действия таможенной процедуры таможенного транзита по транзитной декларации, сведения о которой представлены в соответствии с подпунктом "а" пункта 15 настоящего Порядка.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информационной системе таможенного органа, в который поступило обращение, отсутствуют сведения о завершении (прекращении) действия таможенной процедуры таможенного транзита, указанные сведения могут быть получены в том числе путем направления в таможенный орган отправления запроса о выпуске товаров в соответствии с таможенной процедурой таможенного транзита.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корректировки сведений таможенный орган в возможно короткие сроки, но не позднее 3 часов рабочего времени таможенного органа с момента выявления расхождений, формирует и направляет в таможенные органы, предусмотренные подпунктом "в" пункта 16 настоящего Порядка, сообщение об изменении сведений в сообщении о соблюдении маршрута перевозки товара.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если после направления сообщения, предусмотренного подпунктом "в" пункта 16 настоящего Порядка, выявлены расхождения между регистрационным номером транзитной декларации, содержащимся в таком сообщении, и регистрационным номером транзитной декларации, сведения о которой представлены в соответствии с подпунктом "а" пункта 15 настоящего Порядка, таможенный орган, направивший такое сообщение: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изменения в свою информационную систему в части устранения выявленных расхождений;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своей информационной системы формирует и направляет в таможенные органы, предусмотренные подпунктом "в" пункта 16 настоящего Порядка: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об аннулировании сообщения о соблюдении маршрута перевозки товаров;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сообщение о соблюдении маршрута перевозки товаров.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Действия, предусмотренные настоящим пунктом, производятся в возможно короткие сроки, но не позднее 3 часов рабочего времени таможенного органа с момента выявления расхождений, при условии отсутствия у таможенного органа сведений о завершении (прекращении) действия таможенной процедуры таможенного транзита.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Направление электронного документа, предусмотренного подпунктом "г" пункта 16 настоящего Порядка, содержащего информацию о соблюдении маршрута перевозки товаров, либо получение перевозчиком транспортного (перевозочного) документа или транзитной декларации с отметкой, указанной в подпункте "д" пункта 16 настоящего Порядка, является основанием для того, чтобы транспортное средство и товары покинули зону таможенного контроля, расположенную в регионе деятельности промежуточного таможенного органа, или иное место, указанное промежуточным таможенным органом в соответствии с подпунктом "б" пункта 15 настоящего Порядка.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неисправности используемой таможенным органом информационной системы, вызванной техническими сбоями, нарушениями в работе средств связи (телекоммуникационных сетей и (или) информационно-телекоммуникационной сети "Интернет"), отключения электроэнергии таможенные операции, связанные с установлением, изменением и подтверждением соблюдения маршрута перевозки товаров, осуществляются с использованием имеющихся средств, инструментов, а также оперативных каналов связи, включая официальную переписку.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неисправности информационной системы таможенного органа, восстановления работоспособности средств связи (телекоммуникационных сетей и (или) информационно-телекоммуникационной сети "Интернет"), восстановления подачи электроэнергии в случае принятия решений об установлении или изменении маршрута перевозки товаров, а также в случае подтверждения соблюдения маршрута перевозки товаров должностное лицо таможенного органа, которым приняты такие решения или подтверждено соблюдение маршрута перевозки, совершает в возможно короткие сроки таможенные операции, предусмотренные настоящим Порядком.".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