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70ab" w14:textId="1a77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товаров, предназначенных для кожевенно-обувной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2025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союза, утвержденные Решением Совета Евразийской экономической комиссии от 14 сентября 2021 г. № 80,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11С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109С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109С)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24 декабря 2025 г. № 137 по 31.12.2028 включительно.".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решения Комиссии Таможенного союза в отношении отдельных товаров, предназначенных для кожевенно-обувной и химической промышленности, и в некоторые решения Высшего Евразийского экономического совета и Совета Евразийской экономической комиссии.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г. № 137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оксид магния, кроме кальцинированного природного карбоната магния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средства для обработки текстильных материалов, кожи, меха или прочих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средства для обработки текстильных материалов, кожи, меха или прочих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блок-сополимер бутадиена и стирола, получаемый путем полимеризации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растворе (SBS, термоэластопласт),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гранулах, крошке или в порошке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г. № 137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2519 90 100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оксид магния, кроме кальцинированного природного карбоната магния: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2519 90 100 1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2519 90 100 9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средства для обработки текстильных материалов, кожи, меха или прочих материалов: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средства для обработки текстильных материалов, кожи, меха или прочих материалов: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4002 19 200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блок-сополимер бутадиена и стирола, получаемый путем полимеризации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растворе (SBS, термоэластопласт),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гранулах, крошке или в порошке: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4002 19 200 1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4002 19 200 9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г. № 137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2519 90 100 1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2519 90 100 9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3402 90 100 2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4002 19 200 1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4002 19 200 9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