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1a4e" w14:textId="d9c1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21 приложения № 2 к Положению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2025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Положению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 (приложение № 15 к Решению Коллегии Евразийской экономической комиссии от 21 апреля 2015 г. № 30), после абзаца третьего дополнить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"23,6 МГц +/– 1,06% или 23,35 – 23,85 МГц;".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