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968e" w14:textId="fda9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 требованиям этого технического регламента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июля 2025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11 и 12 пункта 1 статьи 51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 требованиям этого технического регламента, утвержденную Решением Коллегии Евразийской экономической комиссии от 8 ноября 2022 г. № 167,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2025 г. № 60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>вносимые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 требованиям этого технического регламента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Позиции 47 и 54 исключить.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Дополнить позициями 66 – 79 следующего содержания: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71.100.40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формальдегида в зубной пасте. Высокоэффективная жидкостная хроматография.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GB/T 32118-2015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и 2.4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формальдегида в косметике. Высокоэффективная жидкостная хроматография.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GB/T 34822-2017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и 2.4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Токсикологическая оценка на основе анализа токсикологических характеристик ингредиентов.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34993-2023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Парфюмерно-косметическая продукция. Методы испытаний защиты от солнца. Определение коэффициента защиты от солнца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vitro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23675:2024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Парфюмерно-косметическая продукция. Методы испытаний солнцезащитных средств. Измерение эффективности солнцезащитного крема с помощью спектроскопии диффузного отражения.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23698:2024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 Halal. Общие требования.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OIC/SMIIC 4:2018 "Halal Cosmetics – General Requirements"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окрашивания и осветления волос. Общие технические условия.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32837-2014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химической завивки и распрямления волос.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32850-2014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принятия ванн. Общие технические условия.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32851-2014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косметические.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32852-2014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парфюмерная твердая и сухая. Общие технические условия.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32853-2014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моделирования и полирования ногтей. Общие технические условия.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32854-2014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6 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пастообразная. Общие технические условия.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33487-2015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6 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71.100.70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на носителях. Общие технические условия.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33489-2015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– 6 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