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6a1b" w14:textId="af16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2025 год и на период 2026 – 2028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июня 2025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2025 год и на период 2026 – 2028 годов.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г. № 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2025 год и на период 2026 – 2028 годов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– 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