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6a1b" w14:textId="af16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интервальных количественных значений внешних параметров прогнозов для подготовки официальных прогнозов социально-экономического развития государств – членов Евразийского экономического союза на 2025 год и на период 2026 – 2028 годов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июня 2025 года № 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макроэкономической политики (приложение № 14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интервальные количественные значения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внешних параметров прогнозов для подготовки официальных прогнозов социально-экономического развития государств – членов Евразийского экономического союза на 2025 год и на период 2026 – 2028 годов.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2025 г. № 58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Интервальные количественные значения внешних параметров прогнозов для подготовки официальных прогнозов социально-экономического развития государств – членов Евразийского экономического союза на 2025 год и на период 2026 – 2028 годов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Интервальные количественные значения прогнозов темпов развития мировой экономики (расчет по паритету покупательной способности)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– 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– 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– 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– 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Интервальные количественные значения прогнозов цен на нефть марки Brent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 США за баррель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 – 78,0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 – 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 – 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 – 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