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9d7e" w14:textId="e849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2025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(далее – Союз) в части применения повышенной ставки налога на доходы физических лиц – налоговых резидентов государств – членов Союза, осуществляющих работу по найму,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 части применения ставки налога, установленной в отношении физических лиц – налоговых резидентов Российской Федерации, при налогообложении доходов физических лиц – налоговых резидентов государств – членов Союза, осуществляющих работу по найму на территории Российской Федерации.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в течение 90 календарных дней с даты вступления настоящего Решения в силу обеспечить устранение препятствия на внутреннем рынке Союза и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