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a065" w14:textId="607a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Решения Апелляционной палаты Суда Евразийского экономического союза от 17 марта 2025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2025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Апелляционной палаты Суда Евразийского экономического союза от 17 марта 2025 г., вынесенного по результатам рассмотрения заявления индивидуального предпринимателя Курко Е. А. (далее – ИП Курко Е.А.) об оспаривании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"О наличии нарушения общих правил конкуренции на трансграничных рынках" от 6 августа 2024 г. № 94 (далее – Решение № 94), с учетом выводов Апелляционной палаты Суда Евразийского экономического союза об отсутствии достоверных доказательств направленности действий ИП Курко Е.А. по распространению в рамках соблюдения обязательного досудебного порядка урегулирования спора претензий с недостоверной информацией на получение необоснованных преимуществ в предпринимательской деятельности, на причинение ущерба обществу с ограниченной ответственностью "ТехноХимРеагентБел"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 (далее – Порядок рассмотрения дел),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подпункты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№ 94.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Прекратить рассмотрение дела в отношении ИП Курко Е.А.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Порядка рассмотрения дел.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Исключить из мотивировочной части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№ 94) вывод комиссии по рассмотрению дела о наличии в действиях ИП Курко Е.А. нарушения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 о Евразийском экономическом союзе от 29 мая 2014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