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e5e" w14:textId="490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таблицу 11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таблицу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утвержденных Решением Коллегии Евразийской экономической комиссии от 22 января 2019 г. № 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г. № 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таблицу 11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</w:rPr>
        <w:t>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14.3.6.13.4 и 14.3.6.13.5 изложить в следующей редакции: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"*.13.4. Номер документа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(cacdo:ExpressCargoDeclarationIdDetails)" не заполнен и товары до подачи пассажирской таможенной декларации для экспресс-грузов помещались на временное хранение, то 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(csdo:DocId)" заполнен, то реквизит "Дата документа (csdo:DocCreationDate)" должен быть заполнен, 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