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7e5e" w14:textId="4907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таблицу 11 структуры и формата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января 2025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таблицу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структуры и формата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экспресс-грузов, утвержденных Решением Коллегии Евразийской экономической комиссии от 22 января 2019 г. № 9,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2025 г. № 11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таблицу 11</w:t>
      </w:r>
      <w:r>
        <w:rPr>
          <w:rFonts w:ascii="Times New Roman"/>
          <w:b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</w:rPr>
        <w:t>структуры и формата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Позиции 14.3.6.13.4 и 14.3.6.13.5 изложить в следующей редакции: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"*.13.4. Номер документа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(cacdo:ExpressCargoDeclarationIdDetails)" не заполнен и товары до подачи пассажирской таможенной декларации для экспресс-грузов помещались на временное хранение, то реквизит "Номер документа (csdo:DocId)" должен быть заполнен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 Дата документа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(csdo:DocId)" заполнен, то реквизит "Дата документа (csdo:DocCreationDate)" должен быть заполнен, иначе реквизит "Дата документа (csdo:DocCreationDate)"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(csdo:DocCreationDate)" заполнен, то значение реквизита должно соответствовать шаблону: YYYY-MM-DD".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