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1dda" w14:textId="bb71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Высшего Евразийского экономического совета от 8 мая 2015 г.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21 декабря 2025 года № 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информации Евразийской экономической комиссии о ходе реализации государствами - членами Евразийского экономического союза (далее - государства-члены)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поэтапной либерализации выполнения перевозчиками, зарегистрированными на территории одного из государств - членов Евразийского экономического союза, автомобильных перевозок грузов между пунктами, расположенными на территории другого государства - члена Евразийского экономического союза, на период с 2016 по 2025 годы, утвержденной Решением Высшего Евразийского экономического совета от 8 мая 2015 г. № 13 (далее - Программа):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продолжить мониторинг реализации государствами-членами мероприятий, предусмотренных Программой.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государств-членов: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принятие нормативных правовых актов, устанавливающих возможность выполнения каботажных автомобильных перевозок грузов на условиях, предусмотренных IV этапом Программы;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исходить из того, что до обеспечения всеми государствами- членами возможности выполнения автомобильных каботажных перевозок грузов по своей территории на условиях, предусмотренных IV этапом Программы, возможность выполнения таких перевозок реализуется государствами-членами на условиях взаимности.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