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bd03" w14:textId="821b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2026 год</w:t>
      </w:r>
    </w:p>
    <w:p>
      <w:pPr>
        <w:spacing w:after="0"/>
        <w:ind w:left="0"/>
        <w:jc w:val="both"/>
      </w:pPr>
      <w:r>
        <w:rPr>
          <w:rFonts w:ascii="Times New Roman"/>
          <w:b w:val="false"/>
          <w:i w:val="false"/>
          <w:color w:val="000000"/>
          <w:sz w:val="28"/>
        </w:rPr>
        <w:t>Решение Высшего Евразийского экономического совета от 21 декабря 2025 года № 15.</w:t>
      </w:r>
    </w:p>
    <w:p>
      <w:pPr>
        <w:spacing w:after="0"/>
        <w:ind w:left="0"/>
        <w:jc w:val="both"/>
      </w:pPr>
      <w:bookmarkStart w:name="z4" w:id="0"/>
      <w:r>
        <w:rPr>
          <w:rFonts w:ascii="Times New Roman"/>
          <w:b w:val="false"/>
          <w:i w:val="false"/>
          <w:color w:val="000000"/>
          <w:sz w:val="28"/>
        </w:rPr>
        <w:t xml:space="preserve">
      В соответствии со статьей 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решил:</w:t>
      </w:r>
    </w:p>
    <w:bookmarkEnd w:id="0"/>
    <w:bookmarkStart w:name="z5"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2026 год.</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Кыркызской</w:t>
            </w:r>
          </w:p>
          <w:p>
            <w:pPr>
              <w:spacing w:after="20"/>
              <w:ind w:left="20"/>
              <w:jc w:val="both"/>
            </w:pPr>
          </w:p>
          <w:p>
            <w:pPr>
              <w:spacing w:after="20"/>
              <w:ind w:left="20"/>
              <w:jc w:val="both"/>
            </w:pPr>
            <w:r>
              <w:rPr>
                <w:rFonts w:ascii="Times New Roman"/>
                <w:b/>
                <w:i w:val="false"/>
                <w:color w:val="000000"/>
                <w:sz w:val="20"/>
              </w:rPr>
              <w:t>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Российской</w:t>
            </w:r>
          </w:p>
          <w:p>
            <w:pPr>
              <w:spacing w:after="20"/>
              <w:ind w:left="20"/>
              <w:jc w:val="both"/>
            </w:pPr>
          </w:p>
          <w:p>
            <w:pPr>
              <w:spacing w:after="20"/>
              <w:ind w:left="20"/>
              <w:jc w:val="both"/>
            </w:pPr>
            <w:r>
              <w:rPr>
                <w:rFonts w:ascii="Times New Roman"/>
                <w:b/>
                <w:i w:val="false"/>
                <w:color w:val="000000"/>
                <w:sz w:val="20"/>
              </w:rPr>
              <w:t>
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21 декабря 2025 г. № 15</w:t>
            </w:r>
          </w:p>
        </w:tc>
      </w:tr>
    </w:tbl>
    <w:bookmarkStart w:name="z12" w:id="3"/>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2026 год</w:t>
      </w:r>
    </w:p>
    <w:bookmarkEnd w:id="3"/>
    <w:bookmarkStart w:name="z13" w:id="4"/>
    <w:p>
      <w:pPr>
        <w:spacing w:after="0"/>
        <w:ind w:left="0"/>
        <w:jc w:val="both"/>
      </w:pPr>
      <w:r>
        <w:rPr>
          <w:rFonts w:ascii="Times New Roman"/>
          <w:b w:val="false"/>
          <w:i w:val="false"/>
          <w:color w:val="000000"/>
          <w:sz w:val="28"/>
        </w:rPr>
        <w:t>
      Настоящие Основные направления определяют ключевые векторы и приоритеты международной деятельности Евразийского экономического союза (далее - Союз, ЕАЭС) на 2026 год.</w:t>
      </w:r>
    </w:p>
    <w:bookmarkEnd w:id="4"/>
    <w:bookmarkStart w:name="z14" w:id="5"/>
    <w:p>
      <w:pPr>
        <w:spacing w:after="0"/>
        <w:ind w:left="0"/>
        <w:jc w:val="both"/>
      </w:pPr>
      <w:r>
        <w:rPr>
          <w:rFonts w:ascii="Times New Roman"/>
          <w:b w:val="false"/>
          <w:i w:val="false"/>
          <w:color w:val="000000"/>
          <w:sz w:val="28"/>
        </w:rPr>
        <w:t xml:space="preserve">
      Международная деятельность Союза в 2026 году будет направлена на достижение целей Союза, указанных в статье 4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 Договор о Союзе), а именно на создание условий для стабильного развития экономик государств - членов Союза (далее - государства- члены) в целях повышения уровня жизни их населения, формирование единого рынка товаров, услуг, капитала и трудовых ресурсов в рамках Союза, всестороннюю модернизацию, кооперацию и повышение конкурентоспособности национальных экономик, реализацию Декларации 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 от 25 декабря 2023 года, продвижение экономических интересов Союза и государств-членов на мировом рынке, выстраивание взаимовыгодного и равноправного экономического сотрудничества Союза с внешними партнерами и международными объединениями в пределах полномочий в сферах, определенных Договором о Союзе и международными договорами в рамках Союза.</w:t>
      </w:r>
    </w:p>
    <w:bookmarkEnd w:id="5"/>
    <w:bookmarkStart w:name="z15" w:id="6"/>
    <w:p>
      <w:pPr>
        <w:spacing w:after="0"/>
        <w:ind w:left="0"/>
        <w:jc w:val="both"/>
      </w:pPr>
      <w:r>
        <w:rPr>
          <w:rFonts w:ascii="Times New Roman"/>
          <w:b w:val="false"/>
          <w:i w:val="false"/>
          <w:color w:val="000000"/>
          <w:sz w:val="28"/>
        </w:rPr>
        <w:t>
      При осуществлении Союзом международной деятельности в 2026 году приоритетными будут следующие направления:</w:t>
      </w:r>
    </w:p>
    <w:bookmarkEnd w:id="6"/>
    <w:bookmarkStart w:name="z16" w:id="7"/>
    <w:p>
      <w:pPr>
        <w:spacing w:after="0"/>
        <w:ind w:left="0"/>
        <w:jc w:val="both"/>
      </w:pPr>
      <w:r>
        <w:rPr>
          <w:rFonts w:ascii="Times New Roman"/>
          <w:b w:val="false"/>
          <w:i w:val="false"/>
          <w:color w:val="000000"/>
          <w:sz w:val="28"/>
        </w:rPr>
        <w:t>
      активизация взаимодействия с заинтересованными в развитии торгово-экономического сотрудничества с Союзом государствами - участниками Содружества Независимых Государств (СНГ), не являющимися членами Союза, а также с другими странами, стремящимися к равноправному и конструктивному партнерству;</w:t>
      </w:r>
    </w:p>
    <w:bookmarkEnd w:id="7"/>
    <w:bookmarkStart w:name="z17" w:id="8"/>
    <w:p>
      <w:pPr>
        <w:spacing w:after="0"/>
        <w:ind w:left="0"/>
        <w:jc w:val="both"/>
      </w:pPr>
      <w:r>
        <w:rPr>
          <w:rFonts w:ascii="Times New Roman"/>
          <w:b w:val="false"/>
          <w:i w:val="false"/>
          <w:color w:val="000000"/>
          <w:sz w:val="28"/>
        </w:rPr>
        <w:t>
      развитие эффективного и взаимовыгодного сотрудничества с государствами - наблюдателями при Союзе (далее - государства- наблюдатели);</w:t>
      </w:r>
    </w:p>
    <w:bookmarkEnd w:id="8"/>
    <w:bookmarkStart w:name="z18" w:id="9"/>
    <w:p>
      <w:pPr>
        <w:spacing w:after="0"/>
        <w:ind w:left="0"/>
        <w:jc w:val="both"/>
      </w:pPr>
      <w:r>
        <w:rPr>
          <w:rFonts w:ascii="Times New Roman"/>
          <w:b w:val="false"/>
          <w:i w:val="false"/>
          <w:color w:val="000000"/>
          <w:sz w:val="28"/>
        </w:rPr>
        <w:t>
      развитие системного диалога с ключевыми интеграционными и межгосударственными объединениями Евразии - Шанхайской организацией сотрудничества (ШОС), Ассоциацией государств Юго-Восточной Азии (АСЕАН), в том числе с учетом экономического измерения интеграционного контура ЕАЭС - ШОС - АСЕАН, а также с другими заинтересованными партнерами в целях расширения экономического сотрудничества, в том числе в контексте реализации инициативы Большого Евразийского партнерства;</w:t>
      </w:r>
    </w:p>
    <w:bookmarkEnd w:id="9"/>
    <w:bookmarkStart w:name="z19" w:id="10"/>
    <w:p>
      <w:pPr>
        <w:spacing w:after="0"/>
        <w:ind w:left="0"/>
        <w:jc w:val="both"/>
      </w:pPr>
      <w:r>
        <w:rPr>
          <w:rFonts w:ascii="Times New Roman"/>
          <w:b w:val="false"/>
          <w:i w:val="false"/>
          <w:color w:val="000000"/>
          <w:sz w:val="28"/>
        </w:rPr>
        <w:t>
      развитие сотрудничества с другими перспективными с точки зрения экономических интересов государств-членов международными организациями, региональными интеграционными и межгосударственными объединениями и третьими странами, финансовыми институтами развития, в том числе путем подписания меморандумов, заключения преференциальных торговых соглашений, а также интенсификация торгово-экономического взаимодействия с международными партнерами, с которыми заключены такие торговые соглашения и подписаны меморандумы;</w:t>
      </w:r>
    </w:p>
    <w:bookmarkEnd w:id="10"/>
    <w:bookmarkStart w:name="z20" w:id="11"/>
    <w:p>
      <w:pPr>
        <w:spacing w:after="0"/>
        <w:ind w:left="0"/>
        <w:jc w:val="both"/>
      </w:pPr>
      <w:r>
        <w:rPr>
          <w:rFonts w:ascii="Times New Roman"/>
          <w:b w:val="false"/>
          <w:i w:val="false"/>
          <w:color w:val="000000"/>
          <w:sz w:val="28"/>
        </w:rPr>
        <w:t>
      повышение транспортной связанности Союза с активно развивающимися рынками третьих стран путем развития евразийских транспортных коридоров как составляющей системы глобальных транспортных сообщений и их сопряжения с многосторонними международными проектами;</w:t>
      </w:r>
    </w:p>
    <w:bookmarkEnd w:id="11"/>
    <w:bookmarkStart w:name="z21" w:id="12"/>
    <w:p>
      <w:pPr>
        <w:spacing w:after="0"/>
        <w:ind w:left="0"/>
        <w:jc w:val="both"/>
      </w:pPr>
      <w:r>
        <w:rPr>
          <w:rFonts w:ascii="Times New Roman"/>
          <w:b w:val="false"/>
          <w:i w:val="false"/>
          <w:color w:val="000000"/>
          <w:sz w:val="28"/>
        </w:rPr>
        <w:t>
      формирование благоприятных условий для бизнеса государств- членов в части ведения внешнеэкономической деятельности;</w:t>
      </w:r>
    </w:p>
    <w:bookmarkEnd w:id="12"/>
    <w:bookmarkStart w:name="z22" w:id="13"/>
    <w:p>
      <w:pPr>
        <w:spacing w:after="0"/>
        <w:ind w:left="0"/>
        <w:jc w:val="both"/>
      </w:pPr>
      <w:r>
        <w:rPr>
          <w:rFonts w:ascii="Times New Roman"/>
          <w:b w:val="false"/>
          <w:i w:val="false"/>
          <w:color w:val="000000"/>
          <w:sz w:val="28"/>
        </w:rPr>
        <w:t>
      сотрудничество с международными партнерами Союза в целях минимизации негативного эффекта на экономики государств-членов вследствие глобальных вызовов путем обмена передовым интеграционным опытом в сферах, предусмотренных Договором о Союзе;</w:t>
      </w:r>
    </w:p>
    <w:bookmarkEnd w:id="13"/>
    <w:bookmarkStart w:name="z23" w:id="14"/>
    <w:p>
      <w:pPr>
        <w:spacing w:after="0"/>
        <w:ind w:left="0"/>
        <w:jc w:val="both"/>
      </w:pPr>
      <w:r>
        <w:rPr>
          <w:rFonts w:ascii="Times New Roman"/>
          <w:b w:val="false"/>
          <w:i w:val="false"/>
          <w:color w:val="000000"/>
          <w:sz w:val="28"/>
        </w:rPr>
        <w:t>
      развитие диалога по вопросам климатической повестки в целях продвижения интересов государств-членов в климатической сфере на международной арене;</w:t>
      </w:r>
    </w:p>
    <w:bookmarkEnd w:id="14"/>
    <w:bookmarkStart w:name="z24" w:id="15"/>
    <w:p>
      <w:pPr>
        <w:spacing w:after="0"/>
        <w:ind w:left="0"/>
        <w:jc w:val="both"/>
      </w:pPr>
      <w:r>
        <w:rPr>
          <w:rFonts w:ascii="Times New Roman"/>
          <w:b w:val="false"/>
          <w:i w:val="false"/>
          <w:color w:val="000000"/>
          <w:sz w:val="28"/>
        </w:rPr>
        <w:t>
      международное позиционирование Союза как полюса экономического притяжения.</w:t>
      </w:r>
    </w:p>
    <w:bookmarkEnd w:id="15"/>
    <w:bookmarkStart w:name="z25" w:id="16"/>
    <w:p>
      <w:pPr>
        <w:spacing w:after="0"/>
        <w:ind w:left="0"/>
        <w:jc w:val="left"/>
      </w:pPr>
      <w:r>
        <w:rPr>
          <w:rFonts w:ascii="Times New Roman"/>
          <w:b/>
          <w:i w:val="false"/>
          <w:color w:val="000000"/>
        </w:rPr>
        <w:t xml:space="preserve"> I. Взаимодействие с международными организациями, региональными интеграционными и межгосударственными объединениями, третьими странами в целях развития существующих механизмов сотрудничества</w:t>
      </w:r>
    </w:p>
    <w:bookmarkEnd w:id="16"/>
    <w:bookmarkStart w:name="z26" w:id="17"/>
    <w:p>
      <w:pPr>
        <w:spacing w:after="0"/>
        <w:ind w:left="0"/>
        <w:jc w:val="both"/>
      </w:pPr>
      <w:r>
        <w:rPr>
          <w:rFonts w:ascii="Times New Roman"/>
          <w:b w:val="false"/>
          <w:i w:val="false"/>
          <w:color w:val="000000"/>
          <w:sz w:val="28"/>
        </w:rPr>
        <w:t>
      В 2026 году основные усилия Союза в области международной деятельности будут сосредоточены на развитии уже созданных механизмов сотрудничества, в том числе в рамках подписанных меморандумов, деклараций и заключенных торговых соглашений</w:t>
      </w:r>
    </w:p>
    <w:bookmarkEnd w:id="17"/>
    <w:bookmarkStart w:name="z27" w:id="18"/>
    <w:p>
      <w:pPr>
        <w:spacing w:after="0"/>
        <w:ind w:left="0"/>
        <w:jc w:val="both"/>
      </w:pPr>
      <w:r>
        <w:rPr>
          <w:rFonts w:ascii="Times New Roman"/>
          <w:b w:val="false"/>
          <w:i w:val="false"/>
          <w:color w:val="000000"/>
          <w:sz w:val="28"/>
        </w:rPr>
        <w:t>
      (актуальный перечень указанных документов размещается на официальном сайте Союза), а также на разработке и осуществлении планов и программ по реализации указанных документов:</w:t>
      </w:r>
    </w:p>
    <w:bookmarkEnd w:id="18"/>
    <w:bookmarkStart w:name="z28" w:id="19"/>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 включая финансовые институты развития:</w:t>
      </w:r>
    </w:p>
    <w:bookmarkEnd w:id="19"/>
    <w:bookmarkStart w:name="z29" w:id="20"/>
    <w:p>
      <w:pPr>
        <w:spacing w:after="0"/>
        <w:ind w:left="0"/>
        <w:jc w:val="both"/>
      </w:pPr>
      <w:r>
        <w:rPr>
          <w:rFonts w:ascii="Times New Roman"/>
          <w:b w:val="false"/>
          <w:i w:val="false"/>
          <w:color w:val="000000"/>
          <w:sz w:val="28"/>
        </w:rPr>
        <w:t>
      организациями системы ООН, в частности с:</w:t>
      </w:r>
    </w:p>
    <w:bookmarkEnd w:id="20"/>
    <w:bookmarkStart w:name="z30" w:id="21"/>
    <w:p>
      <w:pPr>
        <w:spacing w:after="0"/>
        <w:ind w:left="0"/>
        <w:jc w:val="both"/>
      </w:pPr>
      <w:r>
        <w:rPr>
          <w:rFonts w:ascii="Times New Roman"/>
          <w:b w:val="false"/>
          <w:i w:val="false"/>
          <w:color w:val="000000"/>
          <w:sz w:val="28"/>
        </w:rPr>
        <w:t>
      Европейской экономической комиссией ООН (ЕЭК ООН) в целях развития регионального экономического взаимодействия посредством участия в заседаниях рабочих органов, консультациях, семинарах, конференциях, форумах, круглых столах и других мероприятиях, подготовки совместных аналитических и других обзоров, включая обучающие материалы и программы, обмена информацией и передовым опытом в сфере транспорта, энергетики, статистики, таможенного регулирования, по вопросам торговой политики, международной торговли, внедрения перспективных таможенных технологий, пересечения границ, установления требований к колесным транспортным средствам (во взаимодействии с Всемирным форумом для согласования правил в области транспортных средств), а также по вопросам контроля (надзора) за соблюдением требований технических регламентов путем участия на консультативных началах в заседаниях Рабочей группы ЕЭК ООН по политике в области стандартизации и сотрудничества по вопросам нормативного регулирования в целях учета международного опыта при разработке и актуализации актов органов Союза в сфере технического регулирования;</w:t>
      </w:r>
    </w:p>
    <w:bookmarkEnd w:id="21"/>
    <w:bookmarkStart w:name="z31" w:id="22"/>
    <w:p>
      <w:pPr>
        <w:spacing w:after="0"/>
        <w:ind w:left="0"/>
        <w:jc w:val="both"/>
      </w:pPr>
      <w:r>
        <w:rPr>
          <w:rFonts w:ascii="Times New Roman"/>
          <w:b w:val="false"/>
          <w:i w:val="false"/>
          <w:color w:val="000000"/>
          <w:sz w:val="28"/>
        </w:rPr>
        <w:t>
      Комитетом по внутреннему транспорту ЕЭК ООН в целях изучения мирового интеграционного опыта и имплементации наилучших международных практик при реализации приоритетов и задач скоординированной (согласованной) транспортной политики, включая внедрение цифровых технологий в транспортной и логистической сферах;</w:t>
      </w:r>
    </w:p>
    <w:bookmarkEnd w:id="22"/>
    <w:bookmarkStart w:name="z32" w:id="23"/>
    <w:p>
      <w:pPr>
        <w:spacing w:after="0"/>
        <w:ind w:left="0"/>
        <w:jc w:val="both"/>
      </w:pPr>
      <w:r>
        <w:rPr>
          <w:rFonts w:ascii="Times New Roman"/>
          <w:b w:val="false"/>
          <w:i w:val="false"/>
          <w:color w:val="000000"/>
          <w:sz w:val="28"/>
        </w:rPr>
        <w:t>
      Экономической и социальной комиссией ООН для Азии и Тихого океана (ЭСКАТО) в целях укрепления регионального экономического сотрудничества и оказания поддержки в части реализации Повестки дня в области устойчивого развития на период до 2030 года, а также изучения передовых международных практик и подписания нового меморандума о взаимопонимании между Евразийской экономической комиссией (далее - Комиссия) и ЭСКАТО; участия в заседаниях рабочих органов ЭСКАТО, в том числе Комитета ЭСКАТО по энергетике в части продвижения опыта Союза в сфере энергетики, а также в целях изучения передовых практик в сфере энергосбережения, Комитета ЭСКАТО по транспорту в части продвижения опыта Союза в сфере транспорта и инфраструктуры, Комитета ЭСКАТО по торговле и инвестициям в части изучения передовых практик в сфере безбумажной трансграничной торговли, Комитета ЭСКАТО по статистике в части развития статистической системы Союза на основе современных принципов функционирования и с учетом международных стандартов в сфере статистики; участия в конференциях, семинарах и других мероприятиях по вопросам, представляющим взаимный интерес и относящимся к компетенции Комиссии, в региональных проектах в сфере трудовой миграции и социальной защиты; подготовки совместных аналитических обзоров, в том числе в области таможенного регулирования, содействия реализации исследовательского проекта "Укрепление регионального сотрудничества в области цифровой трансформации для экономического и устойчивого развития";</w:t>
      </w:r>
    </w:p>
    <w:bookmarkEnd w:id="23"/>
    <w:bookmarkStart w:name="z33" w:id="24"/>
    <w:p>
      <w:pPr>
        <w:spacing w:after="0"/>
        <w:ind w:left="0"/>
        <w:jc w:val="both"/>
      </w:pPr>
      <w:r>
        <w:rPr>
          <w:rFonts w:ascii="Times New Roman"/>
          <w:b w:val="false"/>
          <w:i w:val="false"/>
          <w:color w:val="000000"/>
          <w:sz w:val="28"/>
        </w:rPr>
        <w:t>
      Экономической комиссией ООН для Латинской Америки и Карибского бассейна (ЭКЛАК) в целях налаживания контактов по вопросам, представляющим взаимный интерес, в том числе в сфере развития предпринимательской деятельности и торговли услугами, а также в целях интенсификации торгово-экономического сотрудничества государств-членов со странами Латинской Америки и Карибского бассейна путем совместного участия в мероприятиях и проведения аналитических исследований;</w:t>
      </w:r>
    </w:p>
    <w:bookmarkEnd w:id="24"/>
    <w:bookmarkStart w:name="z34" w:id="25"/>
    <w:p>
      <w:pPr>
        <w:spacing w:after="0"/>
        <w:ind w:left="0"/>
        <w:jc w:val="both"/>
      </w:pPr>
      <w:r>
        <w:rPr>
          <w:rFonts w:ascii="Times New Roman"/>
          <w:b w:val="false"/>
          <w:i w:val="false"/>
          <w:color w:val="000000"/>
          <w:sz w:val="28"/>
        </w:rPr>
        <w:t>
      ЕЭК ООН, ЭСКАТО и ЭКЛАК в части продвижения вклада евразийской экономической интеграции в достижение Целей устойчивого развития ООН (далее - ЦУР ООН) в регионе ЕАЭС и укрепления регионального экономического сотрудничества, в том числе посредством участия Комиссии в региональных форумах ООН по устойчивому развитию и в ежегодном Политическом форуме высокого уровня по устойчивому развитию под эгидой Экономического и Социального Совета ООН (ЭКОСОС) в пределах своей компетенции по направлениям, предусмотренным Договором о Союзе;</w:t>
      </w:r>
    </w:p>
    <w:bookmarkEnd w:id="25"/>
    <w:bookmarkStart w:name="z35" w:id="26"/>
    <w:p>
      <w:pPr>
        <w:spacing w:after="0"/>
        <w:ind w:left="0"/>
        <w:jc w:val="both"/>
      </w:pPr>
      <w:r>
        <w:rPr>
          <w:rFonts w:ascii="Times New Roman"/>
          <w:b w:val="false"/>
          <w:i w:val="false"/>
          <w:color w:val="000000"/>
          <w:sz w:val="28"/>
        </w:rPr>
        <w:t>
      Организацией Объединенных Наций по торговле и развитию (ЮНКТАД) в целях развития диалога, а также содействия обмену опытом, изучения лучших мировых практик и применения методологической базы ЮНКТАД по вопросам торговой политики, электронной и цифровой торговли, упрощения процедур торговли и развития механизма "единого окна", оценки воздействия барьеров на экономику и взаимную торговлю государств-членов, выявления и устранения барьеров в торговле в рамках интеграционных объединений, разрешения торгово-экономических споров (медиации); создания общих рынков и развития экономического сотрудничества в части применения мер нетарифного регулирования, их классификации и воздействия на экономику и торговлю государств-членов; учреждения, деятельности и осуществления инвестиций; конкуренции, в том числе посредством участия в работе Межправительственной группы экспертов по конкурентному праву и политике, а также развития диалога региональных интеграционных объединений по вопросам конкуренции; развития предпринимательства на глобальном, региональном и национальном уровнях; защиты прав потребителей посредством участия в деятельности отраслевых консультативных органов, созданных на площадке ЮНКТАД, в том числе Межправительственной группы экспертов по законодательству и политике в области защиты прав потребителей, а также в совещаниях экспертов, конференциях, форумах и иных мероприятиях, проводимых под эгидой ЮНКТАД;</w:t>
      </w:r>
    </w:p>
    <w:bookmarkEnd w:id="26"/>
    <w:bookmarkStart w:name="z36" w:id="27"/>
    <w:p>
      <w:pPr>
        <w:spacing w:after="0"/>
        <w:ind w:left="0"/>
        <w:jc w:val="both"/>
      </w:pPr>
      <w:r>
        <w:rPr>
          <w:rFonts w:ascii="Times New Roman"/>
          <w:b w:val="false"/>
          <w:i w:val="false"/>
          <w:color w:val="000000"/>
          <w:sz w:val="28"/>
        </w:rPr>
        <w:t>
      Организацией Объединенных Наций по промышленному развитию (ЮНИДО) в целях продолжения эффективного диалога и актуализации направлений деятельности, определенных Совместным заявлением о сотрудничестве между Евразийской экономической комиссией и Организацией Объединенных Наций по промышленному развитию от 30 октября 2014 года;</w:t>
      </w:r>
    </w:p>
    <w:bookmarkEnd w:id="27"/>
    <w:bookmarkStart w:name="z37" w:id="28"/>
    <w:p>
      <w:pPr>
        <w:spacing w:after="0"/>
        <w:ind w:left="0"/>
        <w:jc w:val="both"/>
      </w:pPr>
      <w:r>
        <w:rPr>
          <w:rFonts w:ascii="Times New Roman"/>
          <w:b w:val="false"/>
          <w:i w:val="false"/>
          <w:color w:val="000000"/>
          <w:sz w:val="28"/>
        </w:rPr>
        <w:t>
      Продовольственной и сельскохозяйственной организацией ООН (ФАО) по вопросам достижения продовольственной обеспеченности, устойчивого развития сельского хозяйства, включая внедрение цифровых и инновационных технологий;</w:t>
      </w:r>
    </w:p>
    <w:bookmarkEnd w:id="28"/>
    <w:bookmarkStart w:name="z38" w:id="29"/>
    <w:p>
      <w:pPr>
        <w:spacing w:after="0"/>
        <w:ind w:left="0"/>
        <w:jc w:val="both"/>
      </w:pPr>
      <w:r>
        <w:rPr>
          <w:rFonts w:ascii="Times New Roman"/>
          <w:b w:val="false"/>
          <w:i w:val="false"/>
          <w:color w:val="000000"/>
          <w:sz w:val="28"/>
        </w:rPr>
        <w:t>
      Всемирной организацией интеллектуальной собственности (ВОИС) в целях подготовки предложений по совершенствованию системы правовой охраны и защиты прав на объекты интеллектуальной собственности в рамках Союза посредством организации совместных мероприятий по актуальным вопросам в сфере интеллектуальной собственности, обмена аналитическими и справочными материалами, а также взаимного участия в мероприятиях, представляющих интерес для Комиссии и ВОИС;</w:t>
      </w:r>
    </w:p>
    <w:bookmarkEnd w:id="29"/>
    <w:bookmarkStart w:name="z39" w:id="30"/>
    <w:p>
      <w:pPr>
        <w:spacing w:after="0"/>
        <w:ind w:left="0"/>
        <w:jc w:val="both"/>
      </w:pPr>
      <w:r>
        <w:rPr>
          <w:rFonts w:ascii="Times New Roman"/>
          <w:b w:val="false"/>
          <w:i w:val="false"/>
          <w:color w:val="000000"/>
          <w:sz w:val="28"/>
        </w:rPr>
        <w:t>
      Международной организацией по миграции (МОМ) в целях участия в проводимых МОМ проектах и выработки предложений по дальнейшему развитию общего рынка трудовых ресурсов в рамках Союза, изучения передового опыта правового регулирования сферы трудовой миграции, а также обмена информационными аналитическими материалами;</w:t>
      </w:r>
    </w:p>
    <w:bookmarkEnd w:id="30"/>
    <w:bookmarkStart w:name="z40" w:id="31"/>
    <w:p>
      <w:pPr>
        <w:spacing w:after="0"/>
        <w:ind w:left="0"/>
        <w:jc w:val="both"/>
      </w:pPr>
      <w:r>
        <w:rPr>
          <w:rFonts w:ascii="Times New Roman"/>
          <w:b w:val="false"/>
          <w:i w:val="false"/>
          <w:color w:val="000000"/>
          <w:sz w:val="28"/>
        </w:rPr>
        <w:t>
      Международной электротехнической комиссией (МЭК) в целях обмена опытом в области установления требований к электротехнической продукции, а также проведения консультаций по проблемным вопросам технического регулирования электротехнической продукции и ее оценки соответствия;</w:t>
      </w:r>
    </w:p>
    <w:bookmarkEnd w:id="31"/>
    <w:bookmarkStart w:name="z41" w:id="32"/>
    <w:p>
      <w:pPr>
        <w:spacing w:after="0"/>
        <w:ind w:left="0"/>
        <w:jc w:val="both"/>
      </w:pPr>
      <w:r>
        <w:rPr>
          <w:rFonts w:ascii="Times New Roman"/>
          <w:b w:val="false"/>
          <w:i w:val="false"/>
          <w:color w:val="000000"/>
          <w:sz w:val="28"/>
        </w:rPr>
        <w:t>
      Мировым энергетическим советом (МИРЭС) в целях развития экономического сотрудничества в сфере энергетики посредством участия в саммите мировых лидеров в энергетике под эгидой МИРЭС в 2026 году;</w:t>
      </w:r>
    </w:p>
    <w:bookmarkEnd w:id="32"/>
    <w:bookmarkStart w:name="z42" w:id="33"/>
    <w:p>
      <w:pPr>
        <w:spacing w:after="0"/>
        <w:ind w:left="0"/>
        <w:jc w:val="both"/>
      </w:pPr>
      <w:r>
        <w:rPr>
          <w:rFonts w:ascii="Times New Roman"/>
          <w:b w:val="false"/>
          <w:i w:val="false"/>
          <w:color w:val="000000"/>
          <w:sz w:val="28"/>
        </w:rPr>
        <w:t>
      Европейским региональным бюро Всемирной организации здравоохранения (ВОЗ) посредством участия в заседаниях рабочих групп и консультативных органов стран - членов ВОЗ, обмена опытом и иных форм сотрудничества, предусмотренных</w:t>
      </w:r>
    </w:p>
    <w:bookmarkEnd w:id="33"/>
    <w:bookmarkStart w:name="z43" w:id="34"/>
    <w:p>
      <w:pPr>
        <w:spacing w:after="0"/>
        <w:ind w:left="0"/>
        <w:jc w:val="both"/>
      </w:pPr>
      <w:r>
        <w:rPr>
          <w:rFonts w:ascii="Times New Roman"/>
          <w:b w:val="false"/>
          <w:i w:val="false"/>
          <w:color w:val="000000"/>
          <w:sz w:val="28"/>
        </w:rPr>
        <w:t>
      Меморандумом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w:t>
      </w:r>
    </w:p>
    <w:bookmarkEnd w:id="34"/>
    <w:bookmarkStart w:name="z44" w:id="35"/>
    <w:p>
      <w:pPr>
        <w:spacing w:after="0"/>
        <w:ind w:left="0"/>
        <w:jc w:val="both"/>
      </w:pPr>
      <w:r>
        <w:rPr>
          <w:rFonts w:ascii="Times New Roman"/>
          <w:b w:val="false"/>
          <w:i w:val="false"/>
          <w:color w:val="000000"/>
          <w:sz w:val="28"/>
        </w:rPr>
        <w:t>
      Международным переговорным комитетом по разработке Рамочной конвенции ООН о международном налоговом сотрудничестве посредством участия Союза в качестве наблюдателя в сессиях Переговорного комитета в целях изучения опыта по вопросам, касающимся косвенных налогов;</w:t>
      </w:r>
    </w:p>
    <w:bookmarkEnd w:id="35"/>
    <w:bookmarkStart w:name="z45" w:id="36"/>
    <w:p>
      <w:pPr>
        <w:spacing w:after="0"/>
        <w:ind w:left="0"/>
        <w:jc w:val="both"/>
      </w:pPr>
      <w:r>
        <w:rPr>
          <w:rFonts w:ascii="Times New Roman"/>
          <w:b w:val="false"/>
          <w:i w:val="false"/>
          <w:color w:val="000000"/>
          <w:sz w:val="28"/>
        </w:rPr>
        <w:t>
      Статистическим отделом ООН по вопросам, касающимся внедрения в статистическую практику Союза международных статистических стандартов и классификаций, цифровых технологий на основе международного стандарта SDMX (обмен статистическими данными и метаданными) для обеспечения пользователям доступа к статистическим базам данных в интерактивном формате;</w:t>
      </w:r>
    </w:p>
    <w:bookmarkEnd w:id="36"/>
    <w:bookmarkStart w:name="z46" w:id="37"/>
    <w:p>
      <w:pPr>
        <w:spacing w:after="0"/>
        <w:ind w:left="0"/>
        <w:jc w:val="both"/>
      </w:pPr>
      <w:r>
        <w:rPr>
          <w:rFonts w:ascii="Times New Roman"/>
          <w:b w:val="false"/>
          <w:i w:val="false"/>
          <w:color w:val="000000"/>
          <w:sz w:val="28"/>
        </w:rPr>
        <w:t>
      Всемирной таможенной организацией (ВТамО) посредством участия в рамках Меморандума о взаимопонимании между Евразийской экономической комиссией и Всемирной таможенной организацией от 17 июня 2016 года в мероприятиях, проводимых ВТамО, в целях изучения передовых практик таможенного регулирования и продвижения опыта Союза в сфере таможенного регулирования;</w:t>
      </w:r>
    </w:p>
    <w:bookmarkEnd w:id="37"/>
    <w:bookmarkStart w:name="z47" w:id="38"/>
    <w:p>
      <w:pPr>
        <w:spacing w:after="0"/>
        <w:ind w:left="0"/>
        <w:jc w:val="both"/>
      </w:pPr>
      <w:r>
        <w:rPr>
          <w:rFonts w:ascii="Times New Roman"/>
          <w:b w:val="false"/>
          <w:i w:val="false"/>
          <w:color w:val="000000"/>
          <w:sz w:val="28"/>
        </w:rPr>
        <w:t>
      Всемирной торговой организацией (ВТО) посредством участия в пределах компетенции Союза в заседаниях рабочих органов ВТО, рабочих групп и комитетов ВТО, в ходе которых рассматриваются вопросы торговой политики, защиты внутреннего рынка, устранения технических барьеров в торговле, применения санитарных и фитосанитарных мер, мер регулирования в сельском хозяйстве, а также в процедурах разрешения споров ВТО по мерам, относящимся к компетенции Союза;</w:t>
      </w:r>
    </w:p>
    <w:bookmarkEnd w:id="38"/>
    <w:bookmarkStart w:name="z48" w:id="39"/>
    <w:p>
      <w:pPr>
        <w:spacing w:after="0"/>
        <w:ind w:left="0"/>
        <w:jc w:val="both"/>
      </w:pPr>
      <w:r>
        <w:rPr>
          <w:rFonts w:ascii="Times New Roman"/>
          <w:b w:val="false"/>
          <w:i w:val="false"/>
          <w:color w:val="000000"/>
          <w:sz w:val="28"/>
        </w:rPr>
        <w:t>
      Международным торговым центром (МТЦ) в рамках реализации Меморандума о взаимопонимании между Евразийской экономической комиссией и Международным торговым центром от 9 октября 2018 года в целях развития диалога по вопросам торговой политики, представляющим взаимный интерес, и создания благоприятных условий для развития международной и региональной торговли;</w:t>
      </w:r>
    </w:p>
    <w:bookmarkEnd w:id="39"/>
    <w:bookmarkStart w:name="z49" w:id="40"/>
    <w:p>
      <w:pPr>
        <w:spacing w:after="0"/>
        <w:ind w:left="0"/>
        <w:jc w:val="both"/>
      </w:pPr>
      <w:r>
        <w:rPr>
          <w:rFonts w:ascii="Times New Roman"/>
          <w:b w:val="false"/>
          <w:i w:val="false"/>
          <w:color w:val="000000"/>
          <w:sz w:val="28"/>
        </w:rPr>
        <w:t>
      Международной конкурентной сетью (МКС) в целях позиционирования Комиссии на мировой площадке по конкуренции посредством представления опыта Союза в данной сфере, участия в деятельности рабочих групп, разработке документов и в других проектах;</w:t>
      </w:r>
    </w:p>
    <w:bookmarkEnd w:id="40"/>
    <w:bookmarkStart w:name="z50" w:id="41"/>
    <w:p>
      <w:pPr>
        <w:spacing w:after="0"/>
        <w:ind w:left="0"/>
        <w:jc w:val="both"/>
      </w:pPr>
      <w:r>
        <w:rPr>
          <w:rFonts w:ascii="Times New Roman"/>
          <w:b w:val="false"/>
          <w:i w:val="false"/>
          <w:color w:val="000000"/>
          <w:sz w:val="28"/>
        </w:rPr>
        <w:t>
      Евразийской группой по противодействию легализации преступных доходов и финансированию терроризма (ЕАГ) в соответствии с Меморандумом о взаимопонимании между Евразийской экономической комиссией и Евразийской группой по противодействию легализации преступных доходов и финансированию терроризма от 12 февраля 2021 года;</w:t>
      </w:r>
    </w:p>
    <w:bookmarkEnd w:id="41"/>
    <w:bookmarkStart w:name="z51" w:id="42"/>
    <w:p>
      <w:pPr>
        <w:spacing w:after="0"/>
        <w:ind w:left="0"/>
        <w:jc w:val="both"/>
      </w:pPr>
      <w:r>
        <w:rPr>
          <w:rFonts w:ascii="Times New Roman"/>
          <w:b w:val="false"/>
          <w:i w:val="false"/>
          <w:color w:val="000000"/>
          <w:sz w:val="28"/>
        </w:rPr>
        <w:t>
      Международным центром по налогам и инвестициям (МЦНИ) путем обмена информацией, проведения совместных тематических встреч и круглых столов по вопросам, представляющим взаимный интерес, в соответствии с Договором о Союзе;</w:t>
      </w:r>
    </w:p>
    <w:bookmarkEnd w:id="42"/>
    <w:bookmarkStart w:name="z52" w:id="43"/>
    <w:p>
      <w:pPr>
        <w:spacing w:after="0"/>
        <w:ind w:left="0"/>
        <w:jc w:val="both"/>
      </w:pPr>
      <w:r>
        <w:rPr>
          <w:rFonts w:ascii="Times New Roman"/>
          <w:b w:val="false"/>
          <w:i w:val="false"/>
          <w:color w:val="000000"/>
          <w:sz w:val="28"/>
        </w:rPr>
        <w:t>
      Комиссией "Кодекс Алиментариус" (ФАО, ВОЗ) по вопросам разработки стандартов на пищевую продукцию посредством участия в мероприятиях по разработке международных стандартов, методических указаний, норм и правил, способствующих обеспечению безопасности и повышению качества пищевой продукции, а также устранению препятствий для добросовестной торговли продовольственными товарами;</w:t>
      </w:r>
    </w:p>
    <w:bookmarkEnd w:id="43"/>
    <w:bookmarkStart w:name="z53" w:id="44"/>
    <w:p>
      <w:pPr>
        <w:spacing w:after="0"/>
        <w:ind w:left="0"/>
        <w:jc w:val="both"/>
      </w:pPr>
      <w:r>
        <w:rPr>
          <w:rFonts w:ascii="Times New Roman"/>
          <w:b w:val="false"/>
          <w:i w:val="false"/>
          <w:color w:val="000000"/>
          <w:sz w:val="28"/>
        </w:rPr>
        <w:t>
      Всемирной организацией здоровья животных (ВОЗЖ) по вопросам применения международных стандартов ВОЗЖ и их учета при подготовке актов органов Союза в сфере применения и разработки ветеринарно-санитарных мер с целью повышения уровня защиты территорий государств-членов от заноса и распространения возбудителей особо опасных болезней животных и совершенствования ветеринарно-санитарных мер в рамках Союза путем организации совместных мероприятий и участия в них, а также участия в сессиях, заседаниях и семинарах, организуемых ВОЗЖ;</w:t>
      </w:r>
    </w:p>
    <w:bookmarkEnd w:id="44"/>
    <w:bookmarkStart w:name="z54" w:id="45"/>
    <w:p>
      <w:pPr>
        <w:spacing w:after="0"/>
        <w:ind w:left="0"/>
        <w:jc w:val="both"/>
      </w:pPr>
      <w:r>
        <w:rPr>
          <w:rFonts w:ascii="Times New Roman"/>
          <w:b w:val="false"/>
          <w:i w:val="false"/>
          <w:color w:val="000000"/>
          <w:sz w:val="28"/>
        </w:rPr>
        <w:t>
      Секретариатом Международной конвенции по карантину и защите растений (МККЗР) и ее региональными организациями в целях развития научно-методического и экспертного потенциала сотрудничества по актуальным для Союза вопросам в сфере обеспечения карантинной фитосанитарной безопасности, применения карантинных фитосанитарных мер в рамках подготовки актов органов Союза посредством участия в совместных мероприятиях, обмена информацией и опытом, а также учета предложений уполномоченных органов государств-членов по вопросам разработки новых и пересмотра действующих международных стандартов в сфере применения фитосанитарных мер;</w:t>
      </w:r>
    </w:p>
    <w:bookmarkEnd w:id="45"/>
    <w:bookmarkStart w:name="z55" w:id="46"/>
    <w:p>
      <w:pPr>
        <w:spacing w:after="0"/>
        <w:ind w:left="0"/>
        <w:jc w:val="both"/>
      </w:pPr>
      <w:r>
        <w:rPr>
          <w:rFonts w:ascii="Times New Roman"/>
          <w:b w:val="false"/>
          <w:i w:val="false"/>
          <w:color w:val="000000"/>
          <w:sz w:val="28"/>
        </w:rPr>
        <w:t>
      Международной организацией по сахару (МОС) и Международным советом по зерну (МСЗ) в целях обмена информацией о новых тенденциях на рынках сахара и зерна и новых приоритетах в торговле зерном, масличными культурами и сахаром;</w:t>
      </w:r>
    </w:p>
    <w:bookmarkEnd w:id="46"/>
    <w:bookmarkStart w:name="z56" w:id="47"/>
    <w:p>
      <w:pPr>
        <w:spacing w:after="0"/>
        <w:ind w:left="0"/>
        <w:jc w:val="both"/>
      </w:pPr>
      <w:r>
        <w:rPr>
          <w:rFonts w:ascii="Times New Roman"/>
          <w:b w:val="false"/>
          <w:i w:val="false"/>
          <w:color w:val="000000"/>
          <w:sz w:val="28"/>
        </w:rPr>
        <w:t>
      Исламской организацией по продовольственной безопасности (ИОПБ) по вопросам устойчивого развития сельского хозяйства, сбалансированного развития производства и рынков сельскохозяйственной продукции и продовольствия;</w:t>
      </w:r>
    </w:p>
    <w:bookmarkEnd w:id="47"/>
    <w:bookmarkStart w:name="z57" w:id="48"/>
    <w:p>
      <w:pPr>
        <w:spacing w:after="0"/>
        <w:ind w:left="0"/>
        <w:jc w:val="both"/>
      </w:pPr>
      <w:r>
        <w:rPr>
          <w:rFonts w:ascii="Times New Roman"/>
          <w:b w:val="false"/>
          <w:i w:val="false"/>
          <w:color w:val="000000"/>
          <w:sz w:val="28"/>
        </w:rPr>
        <w:t>
      Международным союзом автомобильного транспорта (МСАТ), Организацией сотрудничества железных дорог (ОСЖД), Международным координационным советом по трансъевразийским перевозкам (МКСТП), Международной ассоциацией воздушного транспорта (ИАТА), Межгосударственным авиационным комитетом (МАК), Международной организацией гражданской авиации (ИКАО) в целях изучения мирового интеграционного опыта и имплементации наилучших международных практик при реализации приоритетов и задач скоординированной (согласованной) транспортной политики, включая внедрение цифровых технологий в транспортной и логистической сферах;</w:t>
      </w:r>
    </w:p>
    <w:bookmarkEnd w:id="48"/>
    <w:bookmarkStart w:name="z58" w:id="49"/>
    <w:p>
      <w:pPr>
        <w:spacing w:after="0"/>
        <w:ind w:left="0"/>
        <w:jc w:val="both"/>
      </w:pPr>
      <w:r>
        <w:rPr>
          <w:rFonts w:ascii="Times New Roman"/>
          <w:b w:val="false"/>
          <w:i w:val="false"/>
          <w:color w:val="000000"/>
          <w:sz w:val="28"/>
        </w:rPr>
        <w:t>
      Региональным содружеством в области связи (РСС) в соответствии с Меморандумом о взаимодействии между Евразийской экономической комиссией и Региональным содружеством в области связи от 5 июня 2024 года в целях развития сотрудничества в области связи и информационных технологий посредством обмена представляющей взаимный интерес информацией и передовым опытом в области информационно-коммуникационных технологий, а также проведения совместных консультаций, семинаров, заседаний, конференций, круглых столов и других мероприятий;</w:t>
      </w:r>
    </w:p>
    <w:bookmarkEnd w:id="49"/>
    <w:bookmarkStart w:name="z59" w:id="50"/>
    <w:p>
      <w:pPr>
        <w:spacing w:after="0"/>
        <w:ind w:left="0"/>
        <w:jc w:val="both"/>
      </w:pPr>
      <w:r>
        <w:rPr>
          <w:rFonts w:ascii="Times New Roman"/>
          <w:b w:val="false"/>
          <w:i w:val="false"/>
          <w:color w:val="000000"/>
          <w:sz w:val="28"/>
        </w:rPr>
        <w:t>
      Международной ассоциацией пенсионных и социальных фондов (МАПСФ) в целях применения наилучших международных практик в сфере пенсионного обеспечения;</w:t>
      </w:r>
    </w:p>
    <w:bookmarkEnd w:id="50"/>
    <w:bookmarkStart w:name="z60" w:id="51"/>
    <w:p>
      <w:pPr>
        <w:spacing w:after="0"/>
        <w:ind w:left="0"/>
        <w:jc w:val="both"/>
      </w:pPr>
      <w:r>
        <w:rPr>
          <w:rFonts w:ascii="Times New Roman"/>
          <w:b w:val="false"/>
          <w:i w:val="false"/>
          <w:color w:val="000000"/>
          <w:sz w:val="28"/>
        </w:rPr>
        <w:t>
      Евразийским банком развития (ЕАБР) в целях реализации совместных проектов и создания условий для развития промышленной кооперации в государствах-членах, в том числе в соответствии с Решением Евразийского межправительственного совета от 26 октября 2023 г. № 3 "Об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w:t>
      </w:r>
    </w:p>
    <w:bookmarkEnd w:id="51"/>
    <w:bookmarkStart w:name="z61" w:id="52"/>
    <w:p>
      <w:pPr>
        <w:spacing w:after="0"/>
        <w:ind w:left="0"/>
        <w:jc w:val="both"/>
      </w:pPr>
      <w:r>
        <w:rPr>
          <w:rFonts w:ascii="Times New Roman"/>
          <w:b w:val="false"/>
          <w:i w:val="false"/>
          <w:color w:val="000000"/>
          <w:sz w:val="28"/>
        </w:rPr>
        <w:t>
      другими заинтересованными международными организациями, включая финансовые институты развития, с которыми Комиссия формализовала взаимодействие;</w:t>
      </w:r>
    </w:p>
    <w:bookmarkEnd w:id="52"/>
    <w:bookmarkStart w:name="z62" w:id="53"/>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объединениями:</w:t>
      </w:r>
    </w:p>
    <w:bookmarkEnd w:id="53"/>
    <w:bookmarkStart w:name="z63" w:id="54"/>
    <w:p>
      <w:pPr>
        <w:spacing w:after="0"/>
        <w:ind w:left="0"/>
        <w:jc w:val="both"/>
      </w:pPr>
      <w:r>
        <w:rPr>
          <w:rFonts w:ascii="Times New Roman"/>
          <w:b w:val="false"/>
          <w:i w:val="false"/>
          <w:color w:val="000000"/>
          <w:sz w:val="28"/>
        </w:rPr>
        <w:t>
      Исполнительным комитетом СНГ в соответствии с Меморандумом об углублении взаимодействия между Евразийской экономической комиссией и Исполнительным комитетом Содружества Независимых Государств от 27 ноября 2018 года и планом по его реализации в целях содействия развитию всестороннего торгово-экономического сотрудничества между государствами-членами и заинтересованными государствами - участниками СНГ, не являющимися членами Союза, путем взаимного участия в мероприятиях, в том числе с привлечением представителей бизнес-сообществ государств-членов и государств - участников СНГ, в заседаниях рабочих органов Комиссии и Исполнительного комитета СНГ, проведения консультаций по вопросам устранения возможных противоречий (коллизий) между положениями проектов актов органов Союза и положениями проектов нормативных правовых актов, разрабатываемых в рамках СНГ, развития экономического сотрудничества по вопросам, представляющим взаимный интерес и входящим в компетенцию Комиссии, включая вопросы профессиональной квалификации трудящихся, таможенного и технического регулирования, применения санитарных, ветеринарно-санитарных и карантинных фитосанитарных мер, защиты прав потребителей, трудовой миграции, социального обеспечения, а также вопросы сферы промышленности и агропромышленного комплекса, интеллектуальной собственности, конкуренции, транспорта, предпринимательства, торговли услугами, учреждения, деятельности и осуществления инвестиций, в частности с:</w:t>
      </w:r>
    </w:p>
    <w:bookmarkEnd w:id="54"/>
    <w:bookmarkStart w:name="z64" w:id="55"/>
    <w:p>
      <w:pPr>
        <w:spacing w:after="0"/>
        <w:ind w:left="0"/>
        <w:jc w:val="both"/>
      </w:pPr>
      <w:r>
        <w:rPr>
          <w:rFonts w:ascii="Times New Roman"/>
          <w:b w:val="false"/>
          <w:i w:val="false"/>
          <w:color w:val="000000"/>
          <w:sz w:val="28"/>
        </w:rPr>
        <w:t>
      Межгосударственным статистическим комитетом СНГ (Статкомитетом СНГ) в целях развития сотрудничества по вопросам повышения доступности статистических данных для пользователей, снижения нагрузки на поставщиков данных и обеспечения высокого качества статистической информации в Союзе путем проведения совместных мероприятий, обмена опытом, в том числе по вопросам гармонизации официальной статистической методологии, повышения сопоставимости официальной статистической информации, расширения применения цифровых технологий для сбора и распространения официальной статистической информации;</w:t>
      </w:r>
    </w:p>
    <w:bookmarkEnd w:id="55"/>
    <w:bookmarkStart w:name="z65" w:id="56"/>
    <w:p>
      <w:pPr>
        <w:spacing w:after="0"/>
        <w:ind w:left="0"/>
        <w:jc w:val="both"/>
      </w:pPr>
      <w:r>
        <w:rPr>
          <w:rFonts w:ascii="Times New Roman"/>
          <w:b w:val="false"/>
          <w:i w:val="false"/>
          <w:color w:val="000000"/>
          <w:sz w:val="28"/>
        </w:rPr>
        <w:t>
      Советом руководителей миграционных органов государств - участников СНГ (СРМО) в целях обмена опытом, касающимся трудовой миграции;</w:t>
      </w:r>
    </w:p>
    <w:bookmarkEnd w:id="56"/>
    <w:bookmarkStart w:name="z66" w:id="57"/>
    <w:p>
      <w:pPr>
        <w:spacing w:after="0"/>
        <w:ind w:left="0"/>
        <w:jc w:val="both"/>
      </w:pPr>
      <w:r>
        <w:rPr>
          <w:rFonts w:ascii="Times New Roman"/>
          <w:b w:val="false"/>
          <w:i w:val="false"/>
          <w:color w:val="000000"/>
          <w:sz w:val="28"/>
        </w:rPr>
        <w:t>
      Координационным советом руководителей налоговых служб государств - участников СНГ (КСРНС СНГ) путем обмена информацией, а также проведения совместных тематических встреч и круглых столов по вопросам, представляющим взаимный интерес, в соответствии с Договором о Союзе;</w:t>
      </w:r>
    </w:p>
    <w:bookmarkEnd w:id="57"/>
    <w:bookmarkStart w:name="z67" w:id="58"/>
    <w:p>
      <w:pPr>
        <w:spacing w:after="0"/>
        <w:ind w:left="0"/>
        <w:jc w:val="both"/>
      </w:pPr>
      <w:r>
        <w:rPr>
          <w:rFonts w:ascii="Times New Roman"/>
          <w:b w:val="false"/>
          <w:i w:val="false"/>
          <w:color w:val="000000"/>
          <w:sz w:val="28"/>
        </w:rPr>
        <w:t>
      Координационным транспортным совещанием государств - участников СНГ (КТС СНГ) в целях развития экономического сотрудничества и обмена опытом по внедрению передовых технологий в области транспорта, цифровизации транспортной деятельности, развития международных транспортных коридоров, реализации инфраструктурных проектов;</w:t>
      </w:r>
    </w:p>
    <w:bookmarkEnd w:id="58"/>
    <w:bookmarkStart w:name="z68" w:id="59"/>
    <w:p>
      <w:pPr>
        <w:spacing w:after="0"/>
        <w:ind w:left="0"/>
        <w:jc w:val="both"/>
      </w:pPr>
      <w:r>
        <w:rPr>
          <w:rFonts w:ascii="Times New Roman"/>
          <w:b w:val="false"/>
          <w:i w:val="false"/>
          <w:color w:val="000000"/>
          <w:sz w:val="28"/>
        </w:rPr>
        <w:t>
      Межгосударственным советом по антимонопольной политике (МСАП) и Штабом по совместным расследованиям нарушений антимонопольного законодательства государств - участников СНГ в целях обмена опытом по вопросам, касающимся правоприменительной практики, анализа рынков, а также в целях совершенствования конкурентного права путем участия в мероприятиях, разработке документов и представления деятельности Комиссии в сфере конкуренции;</w:t>
      </w:r>
    </w:p>
    <w:bookmarkEnd w:id="59"/>
    <w:bookmarkStart w:name="z69" w:id="60"/>
    <w:p>
      <w:pPr>
        <w:spacing w:after="0"/>
        <w:ind w:left="0"/>
        <w:jc w:val="both"/>
      </w:pPr>
      <w:r>
        <w:rPr>
          <w:rFonts w:ascii="Times New Roman"/>
          <w:b w:val="false"/>
          <w:i w:val="false"/>
          <w:color w:val="000000"/>
          <w:sz w:val="28"/>
        </w:rPr>
        <w:t>
      Межгосударственным координационным советом руководителей органов страхового надзора государств - участников СНГ в целях гармонизации страхового законодательства государств-членов в соответствии с Договором о Союзе и принятыми в его развитие международными договорами и актами органов Союза путем проведения совместных мероприятий, конференций, форумов;</w:t>
      </w:r>
    </w:p>
    <w:bookmarkEnd w:id="60"/>
    <w:bookmarkStart w:name="z70" w:id="61"/>
    <w:p>
      <w:pPr>
        <w:spacing w:after="0"/>
        <w:ind w:left="0"/>
        <w:jc w:val="both"/>
      </w:pPr>
      <w:r>
        <w:rPr>
          <w:rFonts w:ascii="Times New Roman"/>
          <w:b w:val="false"/>
          <w:i w:val="false"/>
          <w:color w:val="000000"/>
          <w:sz w:val="28"/>
        </w:rPr>
        <w:t>
      Межгосударственным советом по стандартизации, метрологии и сертификации СНГ (МГС СНГ) в части планирования, разработки, принятия, применения межгосударственных стандартов и поддержания их на современном научно-техническом уровне, в том числе для реализации технических регламентов Союза;</w:t>
      </w:r>
    </w:p>
    <w:bookmarkEnd w:id="61"/>
    <w:bookmarkStart w:name="z71" w:id="62"/>
    <w:p>
      <w:pPr>
        <w:spacing w:after="0"/>
        <w:ind w:left="0"/>
        <w:jc w:val="both"/>
      </w:pPr>
      <w:r>
        <w:rPr>
          <w:rFonts w:ascii="Times New Roman"/>
          <w:b w:val="false"/>
          <w:i w:val="false"/>
          <w:color w:val="000000"/>
          <w:sz w:val="28"/>
        </w:rPr>
        <w:t>
      Межправительственным советом по сотрудничеству в области ветеринарии государств - участников СНГ, Координационным советом по проблемам санитарной охраны территорий государств - участников СНГ от завоза и распространения особо опасных инфекционных болезней, Координационным советом по карантину растений государств - участников СНГ (КСКР) и Консультативным советом по защите прав потребителей государств - участников СНГ;</w:t>
      </w:r>
    </w:p>
    <w:bookmarkEnd w:id="62"/>
    <w:bookmarkStart w:name="z72" w:id="63"/>
    <w:p>
      <w:pPr>
        <w:spacing w:after="0"/>
        <w:ind w:left="0"/>
        <w:jc w:val="both"/>
      </w:pPr>
      <w:r>
        <w:rPr>
          <w:rFonts w:ascii="Times New Roman"/>
          <w:b w:val="false"/>
          <w:i w:val="false"/>
          <w:color w:val="000000"/>
          <w:sz w:val="28"/>
        </w:rPr>
        <w:t>
      Советом руководителей уполномоченных органов по регулированию рынков ценных бумаг государств - участников СНГ в целях гармонизации законодательства в сфере рынка ценных бумаг в соответствии с Договором о Союзе и принятыми в его развитие международными договорами и актами органов Союза путем проведения совместных мероприятий, конференций, форумов;</w:t>
      </w:r>
    </w:p>
    <w:bookmarkEnd w:id="63"/>
    <w:bookmarkStart w:name="z73" w:id="64"/>
    <w:p>
      <w:pPr>
        <w:spacing w:after="0"/>
        <w:ind w:left="0"/>
        <w:jc w:val="both"/>
      </w:pPr>
      <w:r>
        <w:rPr>
          <w:rFonts w:ascii="Times New Roman"/>
          <w:b w:val="false"/>
          <w:i w:val="false"/>
          <w:color w:val="000000"/>
          <w:sz w:val="28"/>
        </w:rPr>
        <w:t>
      Электроэнергетическим советом СНГ (ЭЭС СНГ) в целях развития интеграционных процессов в сфере электроэнергетики в соответствии с пунктом 2 Меморандума о сотрудничестве между Евразийской экономической комиссией и Электроэнергетическим Советом Содружества Независимых Государств от 2 ноября 2018 года;</w:t>
      </w:r>
    </w:p>
    <w:bookmarkEnd w:id="64"/>
    <w:bookmarkStart w:name="z74" w:id="65"/>
    <w:p>
      <w:pPr>
        <w:spacing w:after="0"/>
        <w:ind w:left="0"/>
        <w:jc w:val="both"/>
      </w:pPr>
      <w:r>
        <w:rPr>
          <w:rFonts w:ascii="Times New Roman"/>
          <w:b w:val="false"/>
          <w:i w:val="false"/>
          <w:color w:val="000000"/>
          <w:sz w:val="28"/>
        </w:rPr>
        <w:t>
      Постоянным Комитетом Союзного государства в соответствии с Меморандумом о взаимопонимании между Евразийской экономической комиссией и Постоянным Комитетом Союзного государства от 13 декабря 2012 года;</w:t>
      </w:r>
    </w:p>
    <w:bookmarkEnd w:id="65"/>
    <w:bookmarkStart w:name="z75" w:id="66"/>
    <w:p>
      <w:pPr>
        <w:spacing w:after="0"/>
        <w:ind w:left="0"/>
        <w:jc w:val="both"/>
      </w:pPr>
      <w:r>
        <w:rPr>
          <w:rFonts w:ascii="Times New Roman"/>
          <w:b w:val="false"/>
          <w:i w:val="false"/>
          <w:color w:val="000000"/>
          <w:sz w:val="28"/>
        </w:rPr>
        <w:t>
      ШОС в целях установления более тесного практического сотрудничества по направлениям экономического взаимодействия, представляющим взаимный интерес, путем реализации мероприятий с участием представителей органов государственной власти, бизнес- сообществ, а также экспертных сообществ государств-членов и государств - членов ШОС;</w:t>
      </w:r>
    </w:p>
    <w:bookmarkEnd w:id="66"/>
    <w:bookmarkStart w:name="z76" w:id="67"/>
    <w:p>
      <w:pPr>
        <w:spacing w:after="0"/>
        <w:ind w:left="0"/>
        <w:jc w:val="both"/>
      </w:pPr>
      <w:r>
        <w:rPr>
          <w:rFonts w:ascii="Times New Roman"/>
          <w:b w:val="false"/>
          <w:i w:val="false"/>
          <w:color w:val="000000"/>
          <w:sz w:val="28"/>
        </w:rPr>
        <w:t>
      Совещанием по взаимодействию и мерам доверия в Азии (СВМДА) в целях содействия развитию экономического сотрудничества и установления более тесного практического взаимодействия в сферах региональной экономической интеграции, экономики и финансов, транспорта и перевозок, цифровизации и информационно-коммуникационных технологий, промышленности и агропромышленного комплекса, торговой политики;</w:t>
      </w:r>
    </w:p>
    <w:bookmarkEnd w:id="67"/>
    <w:bookmarkStart w:name="z77" w:id="68"/>
    <w:p>
      <w:pPr>
        <w:spacing w:after="0"/>
        <w:ind w:left="0"/>
        <w:jc w:val="both"/>
      </w:pPr>
      <w:r>
        <w:rPr>
          <w:rFonts w:ascii="Times New Roman"/>
          <w:b w:val="false"/>
          <w:i w:val="false"/>
          <w:color w:val="000000"/>
          <w:sz w:val="28"/>
        </w:rPr>
        <w:t>
      АСЕАН через дальнейшую активизацию диалога с Секретариатом АСЕАН и развитие торгово-экономического сотрудничества с государствами - членами АСЕАН в сферах сельского хозяйства, упрощения процедур торговли, таможенного регулирования, развития цифровой экономики и электронной торговли, интеллектуальной собственности, защиты прав потребителей, конкуренции и по другим аспектам взаимодействия в рамках компетенции Союза путем обмена лучшими интеграционными практиками, проведения регулярных консультаций, семинаров и участия в мероприятиях по линии двух объединений, содействия контактам бизнес-сообществ государств- членов и государств - членов АСЕАН, в том числе на площадках форумов и других совместных мероприятий, с учетом вывода в перспективе сотрудничества ЕАЭС и АСЕАН на уровень секторального или диалогового партнерства по экономическим вопросам;</w:t>
      </w:r>
    </w:p>
    <w:bookmarkEnd w:id="68"/>
    <w:bookmarkStart w:name="z78" w:id="69"/>
    <w:p>
      <w:pPr>
        <w:spacing w:after="0"/>
        <w:ind w:left="0"/>
        <w:jc w:val="both"/>
      </w:pPr>
      <w:r>
        <w:rPr>
          <w:rFonts w:ascii="Times New Roman"/>
          <w:b w:val="false"/>
          <w:i w:val="false"/>
          <w:color w:val="000000"/>
          <w:sz w:val="28"/>
        </w:rPr>
        <w:t>
      Африканским союзом (Афросоюз) путем продолжения работы над проектом Меморандума о взаимодействии между Евразийской экономической комиссией и Африканским союзом в области экономического сотрудничества, а также комплексного содействия развитию торгово-экономического сотрудничества Союза и его государств-членов с Афросоюзом и отдельными государствами Африки в целях развития диалога между деловыми кругами посредством проведения совместных мероприятий, участия Комиссии, представителей уполномоченных органов государств-членов и деловых структур в бизнес-миссиях, организуемых в государствах - членах Афросоюза, подключения представителей Афросоюза и государств - членов Афросоюза к конгрессно-выставочным мероприятиям, проводимым на территориях государств-членов, участия представителей Комиссии, а также официальных и деловых кругов государств-членов в мероприятиях, проводимых на территориях государств - членов Афросоюза;</w:t>
      </w:r>
    </w:p>
    <w:bookmarkEnd w:id="69"/>
    <w:bookmarkStart w:name="z79" w:id="70"/>
    <w:p>
      <w:pPr>
        <w:spacing w:after="0"/>
        <w:ind w:left="0"/>
        <w:jc w:val="both"/>
      </w:pPr>
      <w:r>
        <w:rPr>
          <w:rFonts w:ascii="Times New Roman"/>
          <w:b w:val="false"/>
          <w:i w:val="false"/>
          <w:color w:val="000000"/>
          <w:sz w:val="28"/>
        </w:rPr>
        <w:t>
      Общим рынком Восточной и Южной Африки (КОМЕСА) в рамках Меморандума о взаимопонимании между Евразийской экономической комиссией и Комиссией по конкуренции Общего рынка Восточной и Южной Африки в сфере конкурентной политики и правоприменения от 21 июля 2022 года посредством участия в совместных мероприятиях и обмена опытом в сфере конкурентной политики и правоприменения, адвокатирования конкуренции;</w:t>
      </w:r>
    </w:p>
    <w:bookmarkEnd w:id="70"/>
    <w:bookmarkStart w:name="z80" w:id="71"/>
    <w:p>
      <w:pPr>
        <w:spacing w:after="0"/>
        <w:ind w:left="0"/>
        <w:jc w:val="both"/>
      </w:pPr>
      <w:r>
        <w:rPr>
          <w:rFonts w:ascii="Times New Roman"/>
          <w:b w:val="false"/>
          <w:i w:val="false"/>
          <w:color w:val="000000"/>
          <w:sz w:val="28"/>
        </w:rPr>
        <w:t>
      Южноамериканским общим рынком (МЕРКОСУР) в целях укрепления сотрудничества в торгово-экономической сфере, развития и диверсификации торговли между Союзом и МЕРКОСУР путем реализации договоренностей, достигнутых в рамках деятельности Совместного комитета по торгово-экономическому сотрудничеству, учрежденного в соответствии с Меморандумом о сотрудничестве по торгово-экономическим вопросам между Евразийской экономической комиссией и Южноамериканским общим рынком (МЕРКОСУР) от 17 декабря 2018 года, налаживания контактов по вопросам, представляющим взаимный интерес, а также обмена лучшими практиками в сфере таможенного регулирования и применения передовых технологий при таможенном контроле;</w:t>
      </w:r>
    </w:p>
    <w:bookmarkEnd w:id="71"/>
    <w:bookmarkStart w:name="z81" w:id="72"/>
    <w:p>
      <w:pPr>
        <w:spacing w:after="0"/>
        <w:ind w:left="0"/>
        <w:jc w:val="both"/>
      </w:pPr>
      <w:r>
        <w:rPr>
          <w:rFonts w:ascii="Times New Roman"/>
          <w:b w:val="false"/>
          <w:i w:val="false"/>
          <w:color w:val="000000"/>
          <w:sz w:val="28"/>
        </w:rPr>
        <w:t>
      Латиноамерикано-Карибской экономической системой (ЛАЭС) в целях укрепления институционального взаимодействия и создания условий для развития региональной интеграции и инклюзивного экономического роста путем проведения совместных семинаров, в том числе на площадке ООН по тематике изучения роли экономической интеграции в достижении ЦУР ООН, а также обмена опытом в области интеграции, включая вопросы измерения эффектов от интеграции, и в других сферах, представляющих взаимный интерес;</w:t>
      </w:r>
    </w:p>
    <w:bookmarkEnd w:id="72"/>
    <w:bookmarkStart w:name="z82" w:id="73"/>
    <w:p>
      <w:pPr>
        <w:spacing w:after="0"/>
        <w:ind w:left="0"/>
        <w:jc w:val="both"/>
      </w:pPr>
      <w:r>
        <w:rPr>
          <w:rFonts w:ascii="Times New Roman"/>
          <w:b w:val="false"/>
          <w:i w:val="false"/>
          <w:color w:val="000000"/>
          <w:sz w:val="28"/>
        </w:rPr>
        <w:t>
      Секретариатом по экономической интеграции в Центральной Америке (СИЕКА) в целях содействия расширению и диверсификации торговли между государствами-членами и странами Центральной Америки путем проведения совместных мероприятий для обмена опытом в области интеграции;</w:t>
      </w:r>
    </w:p>
    <w:bookmarkEnd w:id="73"/>
    <w:bookmarkStart w:name="z83" w:id="74"/>
    <w:p>
      <w:pPr>
        <w:spacing w:after="0"/>
        <w:ind w:left="0"/>
        <w:jc w:val="both"/>
      </w:pPr>
      <w:r>
        <w:rPr>
          <w:rFonts w:ascii="Times New Roman"/>
          <w:b w:val="false"/>
          <w:i w:val="false"/>
          <w:color w:val="000000"/>
          <w:sz w:val="28"/>
        </w:rPr>
        <w:t>
      Тихоокеанским альянсом в целях обмена интеграционным опытом, изучения взаимовыгодных направлений сотрудничества, в том числе вопросов региональной экономической интеграции, упрощения процедур торговли посредством развития прямых контактов представителей бизнес-сообществ государств-членов и государств - участников Тихоокеанского альянса, проведения совместных мероприятий и бизнес-форумов;</w:t>
      </w:r>
    </w:p>
    <w:bookmarkEnd w:id="74"/>
    <w:bookmarkStart w:name="z84" w:id="75"/>
    <w:p>
      <w:pPr>
        <w:spacing w:after="0"/>
        <w:ind w:left="0"/>
        <w:jc w:val="both"/>
      </w:pPr>
      <w:r>
        <w:rPr>
          <w:rFonts w:ascii="Times New Roman"/>
          <w:b w:val="false"/>
          <w:i w:val="false"/>
          <w:color w:val="000000"/>
          <w:sz w:val="28"/>
        </w:rPr>
        <w:t>
      Генеральным секретариатом Андского сообщества в целях развития сотрудничества путем проведения совместных мероприятий для обмена опытом в сфере региональной экономической интеграции, диалога с бизнес-сообществом;</w:t>
      </w:r>
    </w:p>
    <w:bookmarkEnd w:id="75"/>
    <w:bookmarkStart w:name="z85" w:id="76"/>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государствами-наблюдателями:</w:t>
      </w:r>
    </w:p>
    <w:bookmarkEnd w:id="76"/>
    <w:bookmarkStart w:name="z86" w:id="77"/>
    <w:p>
      <w:pPr>
        <w:spacing w:after="0"/>
        <w:ind w:left="0"/>
        <w:jc w:val="both"/>
      </w:pPr>
      <w:r>
        <w:rPr>
          <w:rFonts w:ascii="Times New Roman"/>
          <w:b w:val="false"/>
          <w:i w:val="false"/>
          <w:color w:val="000000"/>
          <w:sz w:val="28"/>
        </w:rPr>
        <w:t>
      Республикой Узбекистан в рамках Меморандума о взаимодействии между Евразийской экономической комиссией и Правительством Республики Узбекистан от 30 апреля 2021 года и плана совместных мероприятий Евразийской экономической комиссии и Правительства Республики Узбекистан на 2024 - 2026 годы в целях развития торговоэкономического сотрудничества и содействия активизации диалога между бизнес-сообществами, продвижения тематики Союза в ходе конгрессных мероприятий на территории Республики Узбекистан, а также в контексте развития института государства-наблюдателя. Кроме того, сотрудничество с Республикой Узбекистан будет развиваться путем проработки возможных подходов к обмену информацией о товарах и транспортных средствах международной перевозки, перемещаемых через таможенные границы Союза и Республики Узбекистан;</w:t>
      </w:r>
    </w:p>
    <w:bookmarkEnd w:id="77"/>
    <w:bookmarkStart w:name="z87" w:id="78"/>
    <w:p>
      <w:pPr>
        <w:spacing w:after="0"/>
        <w:ind w:left="0"/>
        <w:jc w:val="both"/>
      </w:pPr>
      <w:r>
        <w:rPr>
          <w:rFonts w:ascii="Times New Roman"/>
          <w:b w:val="false"/>
          <w:i w:val="false"/>
          <w:color w:val="000000"/>
          <w:sz w:val="28"/>
        </w:rPr>
        <w:t>
      Республикой Куба в рамках Меморандума о взаимопонимании между Евразийской экономической комиссией и Правительством Республики Куба от 31 мая 2018 года в целях развития торгово-экономического сотрудничества, формирования плана совместных мероприятий на 2026 - 2030 годы, содействия активизации диалога между бизнес-сообществами, продвижения тематики Союза в ходе конгрессных мероприятий на территории Республики Куба, а также в контексте развития института государства-наблюдателя;</w:t>
      </w:r>
    </w:p>
    <w:bookmarkEnd w:id="78"/>
    <w:bookmarkStart w:name="z88" w:id="79"/>
    <w:p>
      <w:pPr>
        <w:spacing w:after="0"/>
        <w:ind w:left="0"/>
        <w:jc w:val="both"/>
      </w:pPr>
      <w:r>
        <w:rPr>
          <w:rFonts w:ascii="Times New Roman"/>
          <w:b w:val="false"/>
          <w:i w:val="false"/>
          <w:color w:val="000000"/>
          <w:sz w:val="28"/>
        </w:rPr>
        <w:t>
      Исламской Республикой Иран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а также по направлениям деятельности Комиссии, представляющим взаимный интерес, посредством взаимодействия в рамках совместного комитета и других рабочих органов, создание которых предусмотрено указанным Соглашением, подготовки и реализации плана совместных мероприятий ("дорожной карты") по торгово-экономическому сотрудничеству между Союзом и его государствами-членами и Исламской Республикой Иран, а также в контексте развития института государства-наблюдателя;</w:t>
      </w:r>
    </w:p>
    <w:bookmarkEnd w:id="79"/>
    <w:bookmarkStart w:name="z89" w:id="80"/>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80"/>
    <w:bookmarkStart w:name="z90" w:id="81"/>
    <w:p>
      <w:pPr>
        <w:spacing w:after="0"/>
        <w:ind w:left="0"/>
        <w:jc w:val="both"/>
      </w:pPr>
      <w:r>
        <w:rPr>
          <w:rFonts w:ascii="Times New Roman"/>
          <w:b w:val="false"/>
          <w:i w:val="false"/>
          <w:color w:val="000000"/>
          <w:sz w:val="28"/>
        </w:rPr>
        <w:t>
      Аргентинской Республикой, Народной Республикой Бангладеш, Венгрией, Арабской Республикой Египет, Иорданским Хашимитским Королевством, Республикой Индонезией, Королевством Камбоджа, Республикой Корея, Королевством Марокко, Монголией, Объединенными Арабскими Эмиратами, Республикой Никарагуа, Республикой Перу, Республикой Союз Мьянма, Республикой Сингапур, Королевством Таиланд, Фарерскими островами, Республикой Эквадор, Республикой Чили, а также с другими государствами, заинтересованными в диалоге с Союзом, с органами государственной власти которых Комиссия подписала меморандумы с целью создания максимально благоприятных условий для развития торгово-экономического сотрудничества с акцентом на развитие отраслевого взаимодействия, в том числе путем формирования и пролонгации планов мероприятий по реализации меморандумов (в случае определения необходимости), развития практики проведения заседаний совместных рабочих групп и привлечения к участию в их работе представителей органов исполнительной власти государств-членов, Делового совета Евразийского экономического союза и бизнес-сообществ государств- членов;</w:t>
      </w:r>
    </w:p>
    <w:bookmarkEnd w:id="81"/>
    <w:bookmarkStart w:name="z91" w:id="82"/>
    <w:p>
      <w:pPr>
        <w:spacing w:after="0"/>
        <w:ind w:left="0"/>
        <w:jc w:val="both"/>
      </w:pPr>
      <w:r>
        <w:rPr>
          <w:rFonts w:ascii="Times New Roman"/>
          <w:b w:val="false"/>
          <w:i w:val="false"/>
          <w:color w:val="000000"/>
          <w:sz w:val="28"/>
        </w:rPr>
        <w:t>
      Социалистической Республикой Вьетнам, Исламской Республикой Иран, Республикой Сербией и Республикой Сингапур в соответствии с преференциальными торговыми соглашениями (для Республики Сингапур - с даты вступления такого соглашения в силу) в целях содействия развитию торговли товарами, включая выявление и устранение ограничительных мер в торговле. Кроме того, сотрудничество с Социалистической Республикой Вьетнам будет развиваться путем практической реализации заключенных протоколов об обмене информацией между таможенными службами, с Исламской Республикой Иран - путем заключения и дальнейшей практической реализации протокола об обмене информацией между таможенными службами;</w:t>
      </w:r>
    </w:p>
    <w:bookmarkEnd w:id="82"/>
    <w:bookmarkStart w:name="z92" w:id="83"/>
    <w:p>
      <w:pPr>
        <w:spacing w:after="0"/>
        <w:ind w:left="0"/>
        <w:jc w:val="both"/>
      </w:pPr>
      <w:r>
        <w:rPr>
          <w:rFonts w:ascii="Times New Roman"/>
          <w:b w:val="false"/>
          <w:i w:val="false"/>
          <w:color w:val="000000"/>
          <w:sz w:val="28"/>
        </w:rPr>
        <w:t>
      Китайской Народной Республикой (КНР) путем взаимодействия в рамках Совместной комиссии и других рабочих органов, создание которых предусмотрено Соглашением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года, в том числе посредством актуализации и реализации плана ("дорожной карты") по развитию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принятого 16 февраля 2023 года Совместной комиссией; расширения направлений взаимодействия между Союзом и его государствами- членами и КНР в части отраслевой повестки сотрудничества, упрощения процедур торговли и создания благоприятных условий для бизнеса государств-членов в КНР; реализации Меморандума о сотрудничестве в области применения антидемпинговых,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 в целях поддержания диалога между органами, проводящими расследования, по методологическим и процедурным аспектам расследований и обмена мнениями по актуальным вопросам в сфере применения мер торговой защиты; актуализации и проработки совместных инициатив в промышленной сфере, имеющих интеграционную направленность и отвечающих задачам укрепления Союза; взаимодействия по вопросам таможенного регулирования, включая развитие института цифровой (интеллектуальной) таможни; обмена опытом в части внедрения перспективных цифровых технологий в деятельность современной таможни в рамках функционирования подкомитета по таможенному сотрудничеству и упрощению процедур торговли; развития сотрудничества и обмена опытом по вопросам совершенствования законодательства в сфере регулирования и надзора на финансовых рынках; взаимодействия в рамках реализации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от 6 июня 2019 года путем заключения и дальнейшей практической реализации протокола об обмене информацией между таможенными службами; реализации Меморандума о взаимопонимании в сфере сотрудничества в области конкурентной политики и антимонопольного регулирования между Евразийской экономической комиссией и Государственным управлением по регулированию рынка Китайской Народной Республики от 16 ноября 2021 года, а также путем развития диалога по вопросам государственных закупок; применения мер по борьбе с изменением климата, оказывающих влияние на международную торговлю, а также мониторинга хода реализации перечня имеющих интеграционную направленность и отвечающих задачам укрепления авторитета Союза приоритетных проектов отраслевого сотрудничества (банка данных интеграционных проектов), реализуемых и планируемых к реализации в рамках сопряжения планов развития Союза и китайской инициативы</w:t>
      </w:r>
    </w:p>
    <w:bookmarkEnd w:id="83"/>
    <w:bookmarkStart w:name="z93" w:id="84"/>
    <w:p>
      <w:pPr>
        <w:spacing w:after="0"/>
        <w:ind w:left="0"/>
        <w:jc w:val="both"/>
      </w:pPr>
      <w:r>
        <w:rPr>
          <w:rFonts w:ascii="Times New Roman"/>
          <w:b w:val="false"/>
          <w:i w:val="false"/>
          <w:color w:val="000000"/>
          <w:sz w:val="28"/>
        </w:rPr>
        <w:t>
      "Один пояс, один путь", согласованного Евразийской частью Совместной комиссии;</w:t>
      </w:r>
    </w:p>
    <w:bookmarkEnd w:id="84"/>
    <w:bookmarkStart w:name="z94" w:id="85"/>
    <w:p>
      <w:pPr>
        <w:spacing w:after="0"/>
        <w:ind w:left="0"/>
        <w:jc w:val="both"/>
      </w:pPr>
      <w:r>
        <w:rPr>
          <w:rFonts w:ascii="Times New Roman"/>
          <w:b w:val="false"/>
          <w:i w:val="false"/>
          <w:color w:val="000000"/>
          <w:sz w:val="28"/>
        </w:rPr>
        <w:t>
      Объединенными Арабскими Эмиратами и Монголией путем проведения работы по обеспечению вступления в силу соглашения об экономическом партнерстве и временного торгового соглашения соответственно;</w:t>
      </w:r>
    </w:p>
    <w:bookmarkEnd w:id="85"/>
    <w:bookmarkStart w:name="z95" w:id="86"/>
    <w:p>
      <w:pPr>
        <w:spacing w:after="0"/>
        <w:ind w:left="0"/>
        <w:jc w:val="both"/>
      </w:pPr>
      <w:r>
        <w:rPr>
          <w:rFonts w:ascii="Times New Roman"/>
          <w:b w:val="false"/>
          <w:i w:val="false"/>
          <w:color w:val="000000"/>
          <w:sz w:val="28"/>
        </w:rPr>
        <w:t>
      Республикой Индонезией путем проведения работы по обеспечению подписания и вступления в силу соглашения о свободной торговле;</w:t>
      </w:r>
    </w:p>
    <w:bookmarkEnd w:id="86"/>
    <w:bookmarkStart w:name="z96" w:id="87"/>
    <w:p>
      <w:pPr>
        <w:spacing w:after="0"/>
        <w:ind w:left="0"/>
        <w:jc w:val="both"/>
      </w:pPr>
      <w:r>
        <w:rPr>
          <w:rFonts w:ascii="Times New Roman"/>
          <w:b w:val="false"/>
          <w:i w:val="false"/>
          <w:color w:val="000000"/>
          <w:sz w:val="28"/>
        </w:rPr>
        <w:t>
      Арабской Республикой Египет путем проведения работы, направленной на активизацию переговорного процесса по заключению соглашения о свободной торговле;</w:t>
      </w:r>
    </w:p>
    <w:bookmarkEnd w:id="87"/>
    <w:bookmarkStart w:name="z97" w:id="88"/>
    <w:p>
      <w:pPr>
        <w:spacing w:after="0"/>
        <w:ind w:left="0"/>
        <w:jc w:val="both"/>
      </w:pPr>
      <w:r>
        <w:rPr>
          <w:rFonts w:ascii="Times New Roman"/>
          <w:b w:val="false"/>
          <w:i w:val="false"/>
          <w:color w:val="000000"/>
          <w:sz w:val="28"/>
        </w:rPr>
        <w:t>
      Республикой Индией и Тунисской Республикой путем проведения переговоров в целях заключения соглашений о свободной торговле.</w:t>
      </w:r>
    </w:p>
    <w:bookmarkEnd w:id="88"/>
    <w:bookmarkStart w:name="z98" w:id="89"/>
    <w:p>
      <w:pPr>
        <w:spacing w:after="0"/>
        <w:ind w:left="0"/>
        <w:jc w:val="both"/>
      </w:pPr>
      <w:r>
        <w:rPr>
          <w:rFonts w:ascii="Times New Roman"/>
          <w:b w:val="false"/>
          <w:i w:val="false"/>
          <w:color w:val="000000"/>
          <w:sz w:val="28"/>
        </w:rPr>
        <w:t>
      При этом реализация внешнеторговой политики Союза обеспечивается в соответствии с подходами к развитию торговоэкономического сотрудничества с основными партнерами Союза на среднесрочную перспективу на период до 2030 года.</w:t>
      </w:r>
    </w:p>
    <w:bookmarkEnd w:id="89"/>
    <w:bookmarkStart w:name="z99" w:id="90"/>
    <w:p>
      <w:pPr>
        <w:spacing w:after="0"/>
        <w:ind w:left="0"/>
        <w:jc w:val="both"/>
      </w:pPr>
      <w:r>
        <w:rPr>
          <w:rFonts w:ascii="Times New Roman"/>
          <w:b w:val="false"/>
          <w:i w:val="false"/>
          <w:color w:val="000000"/>
          <w:sz w:val="28"/>
        </w:rPr>
        <w:t>
      Будет продолжено взаимодействие с представителями третьих стран по вопросам применения специальных защитных, антидемпинговых и компенсационных мер в отношении этих стран, включая встречи и консультации, в том числе на территориях третьих стран, с представителями третьих стран, региональных интеграционных и межгосударственных объединений, а также международных организаций.</w:t>
      </w:r>
    </w:p>
    <w:bookmarkEnd w:id="90"/>
    <w:bookmarkStart w:name="z100" w:id="91"/>
    <w:p>
      <w:pPr>
        <w:spacing w:after="0"/>
        <w:ind w:left="0"/>
        <w:jc w:val="left"/>
      </w:pPr>
      <w:r>
        <w:rPr>
          <w:rFonts w:ascii="Times New Roman"/>
          <w:b/>
          <w:i w:val="false"/>
          <w:color w:val="000000"/>
        </w:rPr>
        <w:t xml:space="preserve"> II. Сотрудничество с потенциальными партнерами, к развитию связей с которыми Союз стремится в приоритетном порядке</w:t>
      </w:r>
    </w:p>
    <w:bookmarkEnd w:id="91"/>
    <w:bookmarkStart w:name="z101" w:id="92"/>
    <w:p>
      <w:pPr>
        <w:spacing w:after="0"/>
        <w:ind w:left="0"/>
        <w:jc w:val="both"/>
      </w:pPr>
      <w:r>
        <w:rPr>
          <w:rFonts w:ascii="Times New Roman"/>
          <w:b w:val="false"/>
          <w:i w:val="false"/>
          <w:color w:val="000000"/>
          <w:sz w:val="28"/>
        </w:rPr>
        <w:t>
      Будет продолжена работа по формированию институциональной основы для развития взаимодействия:</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 включая финансовые институты развития:</w:t>
      </w:r>
    </w:p>
    <w:bookmarkEnd w:id="93"/>
    <w:bookmarkStart w:name="z103" w:id="94"/>
    <w:p>
      <w:pPr>
        <w:spacing w:after="0"/>
        <w:ind w:left="0"/>
        <w:jc w:val="both"/>
      </w:pPr>
      <w:r>
        <w:rPr>
          <w:rFonts w:ascii="Times New Roman"/>
          <w:b w:val="false"/>
          <w:i w:val="false"/>
          <w:color w:val="000000"/>
          <w:sz w:val="28"/>
        </w:rPr>
        <w:t>
      Секретариатом ООН в целях развития взаимодействия по торгово-экономическим вопросам путем обмена информацией и опытом, участия в совместных мероприятиях и исследованиях, реализации программ, направленных на обеспечение экономической стабильности и социального благополучия, защиту экономических прав, а также на достижение государствами-членами ЦУР ООН по направлениям, предусмотренным Договором о Союзе;</w:t>
      </w:r>
    </w:p>
    <w:bookmarkEnd w:id="94"/>
    <w:bookmarkStart w:name="z104" w:id="95"/>
    <w:p>
      <w:pPr>
        <w:spacing w:after="0"/>
        <w:ind w:left="0"/>
        <w:jc w:val="both"/>
      </w:pPr>
      <w:r>
        <w:rPr>
          <w:rFonts w:ascii="Times New Roman"/>
          <w:b w:val="false"/>
          <w:i w:val="false"/>
          <w:color w:val="000000"/>
          <w:sz w:val="28"/>
        </w:rPr>
        <w:t>
      организациями системы ООН в контексте тематики ЦУР ООН и вклада региональных интеграционных структур в достижение Повестки дня в области устойчивого развития на период до 2030 года, а также реализации других передовых глобальных инициатив, в том числе по борьбе с негативными последствиями изменения климата в соответствии с Рамочной конвенцией Организации Объединенных Наций об изменении климата от 9 мая 1992 года и Парижским соглашением от 12 декабря 2015 года, а также посредством реализации во взаимодействии с государствами-членами мер, направленных на принятие резолюции ООН о получении Союзом статуса наблюдателя при Генеральной Ассамблее ООН (ГА ООН);</w:t>
      </w:r>
    </w:p>
    <w:bookmarkEnd w:id="95"/>
    <w:bookmarkStart w:name="z105" w:id="96"/>
    <w:p>
      <w:pPr>
        <w:spacing w:after="0"/>
        <w:ind w:left="0"/>
        <w:jc w:val="both"/>
      </w:pPr>
      <w:r>
        <w:rPr>
          <w:rFonts w:ascii="Times New Roman"/>
          <w:b w:val="false"/>
          <w:i w:val="false"/>
          <w:color w:val="000000"/>
          <w:sz w:val="28"/>
        </w:rPr>
        <w:t>
      Экономической комиссией ООН для Африки (ЭКА) в целях установления контактов и развития взаимодействия по вопросам, представляющим взаимный интерес, в том числе в сферах развития региональной интеграции, торговли, инфраструктуры, а также обмена опытом в решении социально-экономических проблем;</w:t>
      </w:r>
    </w:p>
    <w:bookmarkEnd w:id="96"/>
    <w:bookmarkStart w:name="z106" w:id="97"/>
    <w:p>
      <w:pPr>
        <w:spacing w:after="0"/>
        <w:ind w:left="0"/>
        <w:jc w:val="both"/>
      </w:pPr>
      <w:r>
        <w:rPr>
          <w:rFonts w:ascii="Times New Roman"/>
          <w:b w:val="false"/>
          <w:i w:val="false"/>
          <w:color w:val="000000"/>
          <w:sz w:val="28"/>
        </w:rPr>
        <w:t>
      Комиссией ООН по праву международной торговли (ЮНСИТРАЛ) в целях получения доступа к ее экспертному потенциалу, прежде всего по вопросам урегулирования споров между инвесторами и государствами (Рабочая группа III ЮНСИТРАЛ) и электронной торговли (Рабочая группа IV ЮНСИТРАЛ), а также другим вопросам, представляющим интерес и входящим в компетенцию Комиссии;</w:t>
      </w:r>
    </w:p>
    <w:bookmarkEnd w:id="97"/>
    <w:bookmarkStart w:name="z107" w:id="98"/>
    <w:p>
      <w:pPr>
        <w:spacing w:after="0"/>
        <w:ind w:left="0"/>
        <w:jc w:val="both"/>
      </w:pPr>
      <w:r>
        <w:rPr>
          <w:rFonts w:ascii="Times New Roman"/>
          <w:b w:val="false"/>
          <w:i w:val="false"/>
          <w:color w:val="000000"/>
          <w:sz w:val="28"/>
        </w:rPr>
        <w:t>
      Всемирной торговой организацией (ВТО) в целях активизации сотрудничества с ВТО по вопросам торговой политики, а также взаимодействия с Секретариатом ВТО для получения Союзом статуса наблюдателя в рабочих органах ВТО;</w:t>
      </w:r>
    </w:p>
    <w:bookmarkEnd w:id="98"/>
    <w:bookmarkStart w:name="z108" w:id="99"/>
    <w:p>
      <w:pPr>
        <w:spacing w:after="0"/>
        <w:ind w:left="0"/>
        <w:jc w:val="both"/>
      </w:pPr>
      <w:r>
        <w:rPr>
          <w:rFonts w:ascii="Times New Roman"/>
          <w:b w:val="false"/>
          <w:i w:val="false"/>
          <w:color w:val="000000"/>
          <w:sz w:val="28"/>
        </w:rPr>
        <w:t>
      Организацией экономического сотрудничества и развития (ОЭСР) в рамках уже налаженного сотрудничества в сфере конкуренции посредством участия в мероприятиях и обучающих программах, а также в работе ОЭСР в сфере конкуренции;</w:t>
      </w:r>
    </w:p>
    <w:bookmarkEnd w:id="99"/>
    <w:bookmarkStart w:name="z109" w:id="100"/>
    <w:p>
      <w:pPr>
        <w:spacing w:after="0"/>
        <w:ind w:left="0"/>
        <w:jc w:val="both"/>
      </w:pPr>
      <w:r>
        <w:rPr>
          <w:rFonts w:ascii="Times New Roman"/>
          <w:b w:val="false"/>
          <w:i w:val="false"/>
          <w:color w:val="000000"/>
          <w:sz w:val="28"/>
        </w:rPr>
        <w:t>
      Международной организацией по стандартизации (ИСО) в целях участия в мероприятиях и обмена опытом по вопросам гармонизации требований технических регламентов Союза и взаимосвязанных с ними стандартов с международными стандартами;</w:t>
      </w:r>
    </w:p>
    <w:bookmarkEnd w:id="100"/>
    <w:bookmarkStart w:name="z110" w:id="101"/>
    <w:p>
      <w:pPr>
        <w:spacing w:after="0"/>
        <w:ind w:left="0"/>
        <w:jc w:val="both"/>
      </w:pPr>
      <w:r>
        <w:rPr>
          <w:rFonts w:ascii="Times New Roman"/>
          <w:b w:val="false"/>
          <w:i w:val="false"/>
          <w:color w:val="000000"/>
          <w:sz w:val="28"/>
        </w:rPr>
        <w:t>
      Фармакопейной дискуссионной группой (ФДГ) в целях участия в мероприятиях и обмена опытом по вопросам обращения лекарственных средств;</w:t>
      </w:r>
    </w:p>
    <w:bookmarkEnd w:id="101"/>
    <w:bookmarkStart w:name="z111" w:id="102"/>
    <w:p>
      <w:pPr>
        <w:spacing w:after="0"/>
        <w:ind w:left="0"/>
        <w:jc w:val="both"/>
      </w:pPr>
      <w:r>
        <w:rPr>
          <w:rFonts w:ascii="Times New Roman"/>
          <w:b w:val="false"/>
          <w:i w:val="false"/>
          <w:color w:val="000000"/>
          <w:sz w:val="28"/>
        </w:rPr>
        <w:t>
      Африканским экспортно-импортным банком (Афрэксимбанк) в целях выстраивания эффективного взаимодействия по вопросам содействия росту объемов товарооборота государств-членов и государств - членов Афросоюза и проведения тематических мероприятий, направленных на продвижение позитивного образа Союза в африканском регионе, а также разработки программы сотрудничества между Комиссией и Афрэксимбанком;</w:t>
      </w:r>
    </w:p>
    <w:bookmarkEnd w:id="102"/>
    <w:bookmarkStart w:name="z112" w:id="103"/>
    <w:p>
      <w:pPr>
        <w:spacing w:after="0"/>
        <w:ind w:left="0"/>
        <w:jc w:val="both"/>
      </w:pPr>
      <w:r>
        <w:rPr>
          <w:rFonts w:ascii="Times New Roman"/>
          <w:b w:val="false"/>
          <w:i w:val="false"/>
          <w:color w:val="000000"/>
          <w:sz w:val="28"/>
        </w:rPr>
        <w:t>
      Международной ассоциацией страховых надзоров (МАСН) и Международной организацией комиссий по ценным бумагам (ИОСКО) в связи с осуществлением гармонизации законодательства государств- членов в сфере финансовых рынков с учетом наилучших международных практик и принципов МАСН и ИОСКО в целях сближения норм и требований, предусмотренных законодательством государств-членов в финансовой сфере;</w:t>
      </w:r>
    </w:p>
    <w:bookmarkEnd w:id="103"/>
    <w:bookmarkStart w:name="z113" w:id="104"/>
    <w:p>
      <w:pPr>
        <w:spacing w:after="0"/>
        <w:ind w:left="0"/>
        <w:jc w:val="both"/>
      </w:pPr>
      <w:r>
        <w:rPr>
          <w:rFonts w:ascii="Times New Roman"/>
          <w:b w:val="false"/>
          <w:i w:val="false"/>
          <w:color w:val="000000"/>
          <w:sz w:val="28"/>
        </w:rPr>
        <w:t>
      Всемирной федерацией бирж (ВФБ) в целях развития сотрудничества по вопросам регулирования торговли ценными бумагами и технологии биржевого дела, в том числе путем взаимодействия с международными организаторами торговли ценными бумагами и производными финансовыми инструментами, а также проведения совместных мероприятий, конференций и форумов;</w:t>
      </w:r>
    </w:p>
    <w:bookmarkEnd w:id="104"/>
    <w:bookmarkStart w:name="z114" w:id="105"/>
    <w:p>
      <w:pPr>
        <w:spacing w:after="0"/>
        <w:ind w:left="0"/>
        <w:jc w:val="both"/>
      </w:pPr>
      <w:r>
        <w:rPr>
          <w:rFonts w:ascii="Times New Roman"/>
          <w:b w:val="false"/>
          <w:i w:val="false"/>
          <w:color w:val="000000"/>
          <w:sz w:val="28"/>
        </w:rPr>
        <w:t>
      Всемирным банком (ВБ) и Международным валютным фондом (МВФ) для развития международного сотрудничества посредством проведения консультаций по вопросам, представляющим взаимный интерес в рамках компетенции Союза;</w:t>
      </w:r>
    </w:p>
    <w:bookmarkEnd w:id="105"/>
    <w:bookmarkStart w:name="z115" w:id="106"/>
    <w:p>
      <w:pPr>
        <w:spacing w:after="0"/>
        <w:ind w:left="0"/>
        <w:jc w:val="both"/>
      </w:pPr>
      <w:r>
        <w:rPr>
          <w:rFonts w:ascii="Times New Roman"/>
          <w:b w:val="false"/>
          <w:i w:val="false"/>
          <w:color w:val="000000"/>
          <w:sz w:val="28"/>
        </w:rPr>
        <w:t>
      Форумом стран - экспортеров газа (ФСЭГ) в целях изучения мирового интеграционного опыта и имплементации наилучших международных практик при реализации работы по организации функционирования общего рынка газа Союза, в том числе посредством участия в совместных международных мероприятиях региональных интеграционных и межгосударственных объединений;</w:t>
      </w:r>
    </w:p>
    <w:bookmarkEnd w:id="106"/>
    <w:bookmarkStart w:name="z116" w:id="107"/>
    <w:p>
      <w:pPr>
        <w:spacing w:after="0"/>
        <w:ind w:left="0"/>
        <w:jc w:val="both"/>
      </w:pPr>
      <w:r>
        <w:rPr>
          <w:rFonts w:ascii="Times New Roman"/>
          <w:b w:val="false"/>
          <w:i w:val="false"/>
          <w:color w:val="000000"/>
          <w:sz w:val="28"/>
        </w:rPr>
        <w:t>
      Координационным электроэнергетическим советом Центральной Азии (КЭС ЦА) для изучения опыта взаимодействия с государствами, энергосистемы которых работают в рамках Объединенной электроэнергетической системы Центральной Азии, в целях использования при разработке технологических нормативных документов в сфере электроэнергетики;</w:t>
      </w:r>
    </w:p>
    <w:bookmarkEnd w:id="107"/>
    <w:bookmarkStart w:name="z117" w:id="108"/>
    <w:p>
      <w:pPr>
        <w:spacing w:after="0"/>
        <w:ind w:left="0"/>
        <w:jc w:val="both"/>
      </w:pPr>
      <w:r>
        <w:rPr>
          <w:rFonts w:ascii="Times New Roman"/>
          <w:b w:val="false"/>
          <w:i w:val="false"/>
          <w:color w:val="000000"/>
          <w:sz w:val="28"/>
        </w:rPr>
        <w:t>
      Организацией по развитию и кооперации глобального энергетического объединения (ГЕЙДКО) в целях развития сотрудничества по вопросам электроэнергетики в пределах компетенции Союза;</w:t>
      </w:r>
    </w:p>
    <w:bookmarkEnd w:id="108"/>
    <w:bookmarkStart w:name="z118" w:id="109"/>
    <w:p>
      <w:pPr>
        <w:spacing w:after="0"/>
        <w:ind w:left="0"/>
        <w:jc w:val="both"/>
      </w:pPr>
      <w:r>
        <w:rPr>
          <w:rFonts w:ascii="Times New Roman"/>
          <w:b w:val="false"/>
          <w:i w:val="false"/>
          <w:color w:val="000000"/>
          <w:sz w:val="28"/>
        </w:rPr>
        <w:t>
      Глобальным логистическим альянсом (ГЛА) в целях обмена опытом и изучения лучших мировых практик;</w:t>
      </w:r>
    </w:p>
    <w:bookmarkEnd w:id="109"/>
    <w:bookmarkStart w:name="z119" w:id="110"/>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объединениями:</w:t>
      </w:r>
    </w:p>
    <w:bookmarkEnd w:id="110"/>
    <w:bookmarkStart w:name="z120" w:id="111"/>
    <w:p>
      <w:pPr>
        <w:spacing w:after="0"/>
        <w:ind w:left="0"/>
        <w:jc w:val="both"/>
      </w:pPr>
      <w:r>
        <w:rPr>
          <w:rFonts w:ascii="Times New Roman"/>
          <w:b w:val="false"/>
          <w:i w:val="false"/>
          <w:color w:val="000000"/>
          <w:sz w:val="28"/>
        </w:rPr>
        <w:t>
      БРИКС в целях развития взаимодействия в установленных Договором о Союзе сферах, представляющих взаимный интерес (торговой политике, регулировании торговли, развитии цифровой экономики, таможенном регулировании, промышленном сотрудничестве, транспорте, энергетике и конкуренции);</w:t>
      </w:r>
    </w:p>
    <w:bookmarkEnd w:id="111"/>
    <w:bookmarkStart w:name="z121" w:id="112"/>
    <w:p>
      <w:pPr>
        <w:spacing w:after="0"/>
        <w:ind w:left="0"/>
        <w:jc w:val="both"/>
      </w:pPr>
      <w:r>
        <w:rPr>
          <w:rFonts w:ascii="Times New Roman"/>
          <w:b w:val="false"/>
          <w:i w:val="false"/>
          <w:color w:val="000000"/>
          <w:sz w:val="28"/>
        </w:rPr>
        <w:t>
      Боливарианским альянсом для народов нашей Америки - Торговым договором народов (АЛБА - ТДН) в целях развития диалога и обмена опытом по интеграционной повестке путем проведения двусторонних семинаров и презентаций;</w:t>
      </w:r>
    </w:p>
    <w:bookmarkEnd w:id="112"/>
    <w:bookmarkStart w:name="z122" w:id="113"/>
    <w:p>
      <w:pPr>
        <w:spacing w:after="0"/>
        <w:ind w:left="0"/>
        <w:jc w:val="both"/>
      </w:pPr>
      <w:r>
        <w:rPr>
          <w:rFonts w:ascii="Times New Roman"/>
          <w:b w:val="false"/>
          <w:i w:val="false"/>
          <w:color w:val="000000"/>
          <w:sz w:val="28"/>
        </w:rPr>
        <w:t>
      Диалогом по сотрудничеству в Азии (ДСА) в целях определения сфер взаимного интереса в контексте развития торгово-экономических отношений между государствами-членами и странами - участницами ДСА, а также рассмотрения возможности подписания меморандума о сотрудничестве между Комиссией и Секретариатом ДСА;</w:t>
      </w:r>
    </w:p>
    <w:bookmarkEnd w:id="113"/>
    <w:bookmarkStart w:name="z123" w:id="114"/>
    <w:p>
      <w:pPr>
        <w:spacing w:after="0"/>
        <w:ind w:left="0"/>
        <w:jc w:val="both"/>
      </w:pPr>
      <w:r>
        <w:rPr>
          <w:rFonts w:ascii="Times New Roman"/>
          <w:b w:val="false"/>
          <w:i w:val="false"/>
          <w:color w:val="000000"/>
          <w:sz w:val="28"/>
        </w:rPr>
        <w:t>
      Европейским союзом (ЕС) в связи с тем, что заинтересованность в развитии диалога в формате ЕАЭС - ЕС сохраняется. При возобновлении диалога будет продолжаться сотрудничество между Комиссией и Европейской комиссией, специализированными органами ЕС, в том числе в формате технических консультаций по вопросам торговой политики;</w:t>
      </w:r>
    </w:p>
    <w:bookmarkEnd w:id="114"/>
    <w:bookmarkStart w:name="z124" w:id="115"/>
    <w:p>
      <w:pPr>
        <w:spacing w:after="0"/>
        <w:ind w:left="0"/>
        <w:jc w:val="both"/>
      </w:pPr>
      <w:r>
        <w:rPr>
          <w:rFonts w:ascii="Times New Roman"/>
          <w:b w:val="false"/>
          <w:i w:val="false"/>
          <w:color w:val="000000"/>
          <w:sz w:val="28"/>
        </w:rPr>
        <w:t>
      Ассоциацией регионального сотрудничества прибрежных стран Индийского океана (АРСИО), Африканской континентальной зоной свободной торговли (АКЗСТ), Всесторонним региональным экономическим партнерством (ВРЭП), Восточноафриканским сообществом (ВАС), Западноафриканским экономическим и валютным союзом (ЗАЭВС), Карибским сообществом (КАРИКОМ), Латиноамериканской ассоциацией интеграции (ЛАИ), Лигой Арабских Государств (ЛАГ), Общим рынком Восточной и Южной Африки (КОМЕСА), Организацией исламского сотрудничества (ОИС), Организацией тюркских государств (ОТГ), Союзом Арабского Магриба, Межправительственной организацией по развитию (ИГАД), Советом арабского сотрудничества, Сообществом развития Юга Африки (САДК), Советом сотрудничества арабских государств Персидского залива (ССАГПЗ), Экономическим сообществом государств Центральной Африки (ЭСГЦА), Экономическим сообществом западноафриканских государств (ЭКОВАС), Южноафриканским таможенным союзом (САКУ) и другими субрегиональными и региональными интеграционными объединениями в целях налаживания и развития сотрудничества в установленных Договором о Союзе сферах, представляющих взаимный интерес, в том числе по направлениям устойчивого развития;</w:t>
      </w:r>
    </w:p>
    <w:bookmarkEnd w:id="115"/>
    <w:bookmarkStart w:name="z125" w:id="116"/>
    <w:p>
      <w:pPr>
        <w:spacing w:after="0"/>
        <w:ind w:left="0"/>
        <w:jc w:val="both"/>
      </w:pPr>
      <w:r>
        <w:rPr>
          <w:rFonts w:ascii="Times New Roman"/>
          <w:b w:val="false"/>
          <w:i w:val="false"/>
          <w:color w:val="000000"/>
          <w:sz w:val="28"/>
        </w:rPr>
        <w:t>
      региональными интеграционными объединениями путем развития налаженного диалога региональных организаций по вопросам конкуренции в формате проведения регулярных встреч (Арабская конкурентная сеть (АКС), АСЕАН, ВАС, ЗАЭВС, КАРИКОМ, КОМЕСА, ЭКОВАС и др.);</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117"/>
    <w:bookmarkStart w:name="z127" w:id="118"/>
    <w:p>
      <w:pPr>
        <w:spacing w:after="0"/>
        <w:ind w:left="0"/>
        <w:jc w:val="both"/>
      </w:pPr>
      <w:r>
        <w:rPr>
          <w:rFonts w:ascii="Times New Roman"/>
          <w:b w:val="false"/>
          <w:i w:val="false"/>
          <w:color w:val="000000"/>
          <w:sz w:val="28"/>
        </w:rPr>
        <w:t>
      Туркменистаном путем проработки возможности заключения меморандума о взаимодействии между Евразийской экономической комиссией и Правительством Туркменистана, а также другими государствами - участниками СНГ, не являющимися членами Союза, сотрудничество с которыми представляет взаимный экономический интерес, путем формализации отношений с ними;</w:t>
      </w:r>
    </w:p>
    <w:bookmarkEnd w:id="118"/>
    <w:bookmarkStart w:name="z128" w:id="119"/>
    <w:p>
      <w:pPr>
        <w:spacing w:after="0"/>
        <w:ind w:left="0"/>
        <w:jc w:val="both"/>
      </w:pPr>
      <w:r>
        <w:rPr>
          <w:rFonts w:ascii="Times New Roman"/>
          <w:b w:val="false"/>
          <w:i w:val="false"/>
          <w:color w:val="000000"/>
          <w:sz w:val="28"/>
        </w:rPr>
        <w:t>
      Алжирской Народной Демократической Республикой, Королевством Саудовской Аравии, Королевством Бахрейн, Многонациональным государством Боливия, Федеративной Республикой Бразилия, Государством Бруней-Даруссалам, Республикой Экваториальная Гвинея, Боливарианской Республикой Венесуэла, Грузией, Республикой Ирак, Государством Катар, Республикой Коста-Рика, Государством Кувейт, Лаосской Народно-Демократической Республикой, Малайзией, Мексиканскими Соединенными Штатами, Республикой Мозамбик, Республикой Намибией, Султанатом Оман, Сирийской Арабской Республикой, Республикой Судан, Республикой Филиппины, Федеративной Демократической Республикой Эфиопией, Южно-Африканской Республикой и другими странами, а также с другими государствами - членами интеграционных объединений, с которыми у Союза формализовано взаимодействие и сотрудничество с которыми представляет взаимный экономический интерес, с учетом их инициатив и предложений об установлении диалога с Союзом;</w:t>
      </w:r>
    </w:p>
    <w:bookmarkEnd w:id="119"/>
    <w:bookmarkStart w:name="z129" w:id="120"/>
    <w:p>
      <w:pPr>
        <w:spacing w:after="0"/>
        <w:ind w:left="0"/>
        <w:jc w:val="both"/>
      </w:pPr>
      <w:r>
        <w:rPr>
          <w:rFonts w:ascii="Times New Roman"/>
          <w:b w:val="false"/>
          <w:i w:val="false"/>
          <w:color w:val="000000"/>
          <w:sz w:val="28"/>
        </w:rPr>
        <w:t>
      третьими странами, которые будут определены Комиссией и государствами-членами как перспективные с точки зрения заключения с ними преференциальных торговых соглашений, в случае обоюдной заинтересованности в инициировании соответствующих переговоров;</w:t>
      </w:r>
    </w:p>
    <w:bookmarkEnd w:id="120"/>
    <w:bookmarkStart w:name="z130" w:id="121"/>
    <w:p>
      <w:pPr>
        <w:spacing w:after="0"/>
        <w:ind w:left="0"/>
        <w:jc w:val="both"/>
      </w:pPr>
      <w:r>
        <w:rPr>
          <w:rFonts w:ascii="Times New Roman"/>
          <w:b w:val="false"/>
          <w:i w:val="false"/>
          <w:color w:val="000000"/>
          <w:sz w:val="28"/>
        </w:rPr>
        <w:t>
      третьими странами, участвующими и подключающимися в установленном порядке к развитию регулярных взаимных поставок сельскохозяйственной продукции и продовольствия, предусмотренных в рамках реализации проекта "Евразийский агроэкспресс".</w:t>
      </w:r>
    </w:p>
    <w:bookmarkEnd w:id="121"/>
    <w:bookmarkStart w:name="z131" w:id="122"/>
    <w:p>
      <w:pPr>
        <w:spacing w:after="0"/>
        <w:ind w:left="0"/>
        <w:jc w:val="both"/>
      </w:pPr>
      <w:r>
        <w:rPr>
          <w:rFonts w:ascii="Times New Roman"/>
          <w:b w:val="false"/>
          <w:i w:val="false"/>
          <w:color w:val="000000"/>
          <w:sz w:val="28"/>
        </w:rPr>
        <w:t>
      *      *      *</w:t>
      </w:r>
    </w:p>
    <w:bookmarkEnd w:id="122"/>
    <w:bookmarkStart w:name="z132" w:id="123"/>
    <w:p>
      <w:pPr>
        <w:spacing w:after="0"/>
        <w:ind w:left="0"/>
        <w:jc w:val="both"/>
      </w:pPr>
      <w:r>
        <w:rPr>
          <w:rFonts w:ascii="Times New Roman"/>
          <w:b w:val="false"/>
          <w:i w:val="false"/>
          <w:color w:val="000000"/>
          <w:sz w:val="28"/>
        </w:rPr>
        <w:t>
      Комиссия совместно с государствами-членами будет проводить работу, направленную на функционирование Союза как полюса экономического притяжения на международной арене путем сопряжения интеграционных процессов на евразийском пространстве в части экономического взаимодействия Союза как одного из ключевых участников процесса формирования интеграционного контура Большого Евразийского партнерства путем разработки и реализации предложений, направленных на развитие экономического сотрудничества с СНГ, ШОС, СВМДА, АСЕАН и другими заинтересованными объединениями и государствами региона в сферах, предусмотренных Договором о Союзе, а также посредством сопряжения планов развития Союза и китайской инициативы "Один пояс, один путь".</w:t>
      </w:r>
    </w:p>
    <w:bookmarkEnd w:id="123"/>
    <w:bookmarkStart w:name="z133" w:id="124"/>
    <w:p>
      <w:pPr>
        <w:spacing w:after="0"/>
        <w:ind w:left="0"/>
        <w:jc w:val="both"/>
      </w:pPr>
      <w:r>
        <w:rPr>
          <w:rFonts w:ascii="Times New Roman"/>
          <w:b w:val="false"/>
          <w:i w:val="false"/>
          <w:color w:val="000000"/>
          <w:sz w:val="28"/>
        </w:rPr>
        <w:t>
      Будет продолжена работа по развитию взаимодействия с государствами, получившими статус государства-наблюдателя, посредством анализа и определения сфер интеграционной повестки Союза, в которых проявляется взаимный интерес как со стороны</w:t>
      </w:r>
    </w:p>
    <w:bookmarkEnd w:id="124"/>
    <w:bookmarkStart w:name="z134" w:id="125"/>
    <w:p>
      <w:pPr>
        <w:spacing w:after="0"/>
        <w:ind w:left="0"/>
        <w:jc w:val="both"/>
      </w:pPr>
      <w:r>
        <w:rPr>
          <w:rFonts w:ascii="Times New Roman"/>
          <w:b w:val="false"/>
          <w:i w:val="false"/>
          <w:color w:val="000000"/>
          <w:sz w:val="28"/>
        </w:rPr>
        <w:t>
      государств-членов, так и со стороны государств-наблюдателей, а также популяризации статуса государства-наблюдателя.</w:t>
      </w:r>
    </w:p>
    <w:bookmarkEnd w:id="125"/>
    <w:bookmarkStart w:name="z135" w:id="126"/>
    <w:p>
      <w:pPr>
        <w:spacing w:after="0"/>
        <w:ind w:left="0"/>
        <w:jc w:val="both"/>
      </w:pPr>
      <w:r>
        <w:rPr>
          <w:rFonts w:ascii="Times New Roman"/>
          <w:b w:val="false"/>
          <w:i w:val="false"/>
          <w:color w:val="000000"/>
          <w:sz w:val="28"/>
        </w:rPr>
        <w:t>
      Будет продолжен курс на активизацию диалога Союза с африканским континентом, который испытывает потребность в широком перечне товаров, работ, услуг и технологий, произведенных в государствах-членах.</w:t>
      </w:r>
    </w:p>
    <w:bookmarkEnd w:id="126"/>
    <w:bookmarkStart w:name="z136" w:id="127"/>
    <w:p>
      <w:pPr>
        <w:spacing w:after="0"/>
        <w:ind w:left="0"/>
        <w:jc w:val="both"/>
      </w:pPr>
      <w:r>
        <w:rPr>
          <w:rFonts w:ascii="Times New Roman"/>
          <w:b w:val="false"/>
          <w:i w:val="false"/>
          <w:color w:val="000000"/>
          <w:sz w:val="28"/>
        </w:rPr>
        <w:t>
      Комиссия продолжит представление на международной арене позитивных результатов влияния евразийской экономической интеграции на достижение государствами-членами ЦУР ООН в пределах компетенции Комиссии и по направлениям, предусмотренным Договором о Союзе.</w:t>
      </w:r>
    </w:p>
    <w:bookmarkEnd w:id="127"/>
    <w:bookmarkStart w:name="z137" w:id="128"/>
    <w:p>
      <w:pPr>
        <w:spacing w:after="0"/>
        <w:ind w:left="0"/>
        <w:jc w:val="both"/>
      </w:pPr>
      <w:r>
        <w:rPr>
          <w:rFonts w:ascii="Times New Roman"/>
          <w:b w:val="false"/>
          <w:i w:val="false"/>
          <w:color w:val="000000"/>
          <w:sz w:val="28"/>
        </w:rPr>
        <w:t>
      Комиссия совместно с государствами-членами продолжит работу по расширению присутствия Союза на глобальном рынке путем выработки системных решений, направленных на повышение эффективности использования потенциала Союза для выхода товаров государств-членов на рынки третьих стран, максимальному упрощению доступа экспортеров государств-членов на новые рынки, их интегрированию в региональные и глобальные производственные цепочки.</w:t>
      </w:r>
    </w:p>
    <w:bookmarkEnd w:id="128"/>
    <w:bookmarkStart w:name="z138" w:id="129"/>
    <w:p>
      <w:pPr>
        <w:spacing w:after="0"/>
        <w:ind w:left="0"/>
        <w:jc w:val="both"/>
      </w:pPr>
      <w:r>
        <w:rPr>
          <w:rFonts w:ascii="Times New Roman"/>
          <w:b w:val="false"/>
          <w:i w:val="false"/>
          <w:color w:val="000000"/>
          <w:sz w:val="28"/>
        </w:rPr>
        <w:t>
      Международная деятельность Союза будет ориентирована на решение актуальных задач евразийской экономической интеграции, а именно: развитие экспорта, транспортной и энергетической инфраструктуры, промышленной кооперации, внедрение новых технологий, экспорт передового опыта Союза в сфере инноваций и цифровых технологий и др., а также на активизацию работы по созданию условий для совместного выхода предприятий государств- членов на рынки третьих стран, интенсификацию отраслевого диалога в рамках созданных механизмов сотрудничества (совместные рабочие группы, созданные в соответствии с меморандумами о сотрудничестве или взаимопонимании).</w:t>
      </w:r>
    </w:p>
    <w:bookmarkEnd w:id="129"/>
    <w:bookmarkStart w:name="z139" w:id="130"/>
    <w:p>
      <w:pPr>
        <w:spacing w:after="0"/>
        <w:ind w:left="0"/>
        <w:jc w:val="both"/>
      </w:pPr>
      <w:r>
        <w:rPr>
          <w:rFonts w:ascii="Times New Roman"/>
          <w:b w:val="false"/>
          <w:i w:val="false"/>
          <w:color w:val="000000"/>
          <w:sz w:val="28"/>
        </w:rPr>
        <w:t>
      Союз продолжит координацию усилий по совместному развитию транспортно-логистической и цифровой инфраструктуры международных транспортных коридоров, в том числе в направлениях "Восток - Запад" и "Север - Юг", а также в рамках сопряжения с китайской инициативой "Один пояс, один путь" в целях обеспечения "бесшовной технологии" грузоперевозок на основе принципов равенства и взаимности, уважения суверенитета и юрисдикции стран для развития торговых и экономических связей с третьими странами. Для этого будет продолжена работа в рамках Союза и с третьими странами по снятию инфраструктурных ограничений и устранению законодательных барьеров.</w:t>
      </w:r>
    </w:p>
    <w:bookmarkEnd w:id="130"/>
    <w:bookmarkStart w:name="z140" w:id="131"/>
    <w:p>
      <w:pPr>
        <w:spacing w:after="0"/>
        <w:ind w:left="0"/>
        <w:jc w:val="both"/>
      </w:pPr>
      <w:r>
        <w:rPr>
          <w:rFonts w:ascii="Times New Roman"/>
          <w:b w:val="false"/>
          <w:i w:val="false"/>
          <w:color w:val="000000"/>
          <w:sz w:val="28"/>
        </w:rPr>
        <w:t>
      Комиссия при содействии государств-членов продолжит предпринимать усилия по продвижению международной повестки Союза на площадках отраслевых рабочих групп, а также на полях международных промышленных выставок и форумов, проводимых в государствах-членах и третьих странах. Будет продолжено изучение международного опыта в промышленной сфере и в области агропромышленного комплекса, включая вопросы трансфера технологий, проведение консультаций и формирование совместных площадок для обсуждения лучших практик в области промышленности и сельского хозяйства.</w:t>
      </w:r>
    </w:p>
    <w:bookmarkEnd w:id="131"/>
    <w:bookmarkStart w:name="z141" w:id="132"/>
    <w:p>
      <w:pPr>
        <w:spacing w:after="0"/>
        <w:ind w:left="0"/>
        <w:jc w:val="both"/>
      </w:pPr>
      <w:r>
        <w:rPr>
          <w:rFonts w:ascii="Times New Roman"/>
          <w:b w:val="false"/>
          <w:i w:val="false"/>
          <w:color w:val="000000"/>
          <w:sz w:val="28"/>
        </w:rPr>
        <w:t>
      Основные усилия в рамках сотрудничества с институтами развития, в том числе с ЕАБР и Евразийским фондом стабилизации и развития (ЕФСР), будут направлены на проработку возможности взаимодействия в целях создания условий для финансирования проектов, имеющих интеграционный характер, продвижения программ и проектов в рамках мандатов указанных институтов, выстраивания новых транспортно-логистических направлений, а также расширения торгово-экономических связей государств-членов.</w:t>
      </w:r>
    </w:p>
    <w:bookmarkEnd w:id="132"/>
    <w:bookmarkStart w:name="z142" w:id="133"/>
    <w:p>
      <w:pPr>
        <w:spacing w:after="0"/>
        <w:ind w:left="0"/>
        <w:jc w:val="both"/>
      </w:pPr>
      <w:r>
        <w:rPr>
          <w:rFonts w:ascii="Times New Roman"/>
          <w:b w:val="false"/>
          <w:i w:val="false"/>
          <w:color w:val="000000"/>
          <w:sz w:val="28"/>
        </w:rPr>
        <w:t>
      Будет продолжена работа по созданию благоприятных условий для представителей бизнес-сообществ государств-членов в части ведения внешнеэкономической деятельности, включая упрощение торговых процедур, что будет способствовать продвижению товаров и услуг на внешние рынки.</w:t>
      </w:r>
    </w:p>
    <w:bookmarkEnd w:id="133"/>
    <w:bookmarkStart w:name="z143" w:id="134"/>
    <w:p>
      <w:pPr>
        <w:spacing w:after="0"/>
        <w:ind w:left="0"/>
        <w:jc w:val="both"/>
      </w:pPr>
      <w:r>
        <w:rPr>
          <w:rFonts w:ascii="Times New Roman"/>
          <w:b w:val="false"/>
          <w:i w:val="false"/>
          <w:color w:val="000000"/>
          <w:sz w:val="28"/>
        </w:rPr>
        <w:t>
      Комиссия в установленном порядке продолжит предпринимать усилия по международному позиционированию Союза, в том числе на площадках Евразийского экономического форума, Международного форума Астана, Восточного экономического форума, Петербургского международного экономического форума, в рамках других мероприятий международного уровня, организуемых Комиссией и государствами- членами, включая Молодежный экономический форум СНГ и ЕАЭС, а также на площадках заинтересованных интеграционных объединений, международных и межправительственных организаций и стран путем презентации экономических достижений Союза.</w:t>
      </w:r>
    </w:p>
    <w:bookmarkEnd w:id="134"/>
    <w:bookmarkStart w:name="z144" w:id="135"/>
    <w:p>
      <w:pPr>
        <w:spacing w:after="0"/>
        <w:ind w:left="0"/>
        <w:jc w:val="both"/>
      </w:pPr>
      <w:r>
        <w:rPr>
          <w:rFonts w:ascii="Times New Roman"/>
          <w:b w:val="false"/>
          <w:i w:val="false"/>
          <w:color w:val="000000"/>
          <w:sz w:val="28"/>
        </w:rPr>
        <w:t>
      Международные контакты Комиссии будут направлены в том числе на продвижение актуальной повестки Союза и представление на международной арене позитивных результатов влияния евразийской экономической интеграции на достижение государствами-членами ЦУР ООН в пределах компетенции Комиссии по направлениям, предусмотренным Договором о Союзе.</w:t>
      </w:r>
    </w:p>
    <w:bookmarkEnd w:id="135"/>
    <w:bookmarkStart w:name="z145" w:id="136"/>
    <w:p>
      <w:pPr>
        <w:spacing w:after="0"/>
        <w:ind w:left="0"/>
        <w:jc w:val="both"/>
      </w:pPr>
      <w:r>
        <w:rPr>
          <w:rFonts w:ascii="Times New Roman"/>
          <w:b w:val="false"/>
          <w:i w:val="false"/>
          <w:color w:val="000000"/>
          <w:sz w:val="28"/>
        </w:rPr>
        <w:t>
      Будет продолжена работа Консультативного комитета по международной деятельности в части выработки предложений по совершенствованию работы на международном треке, разработки мер, направленных на усиление экономических позиций Союза на международной арене, а также подготовки рекомендаций по формированию основных направлений международной деятельности Союза на очередной год.</w:t>
      </w:r>
    </w:p>
    <w:bookmarkEnd w:id="136"/>
    <w:bookmarkStart w:name="z146" w:id="137"/>
    <w:p>
      <w:pPr>
        <w:spacing w:after="0"/>
        <w:ind w:left="0"/>
        <w:jc w:val="both"/>
      </w:pPr>
      <w:r>
        <w:rPr>
          <w:rFonts w:ascii="Times New Roman"/>
          <w:b w:val="false"/>
          <w:i w:val="false"/>
          <w:color w:val="000000"/>
          <w:sz w:val="28"/>
        </w:rPr>
        <w:t xml:space="preserve">
      Реализация целей и задач международной повестки Союза будет осуществляться во взаимодействии с органами государственного управления государств-членов в соответствии с </w:t>
      </w:r>
      <w:r>
        <w:rPr>
          <w:rFonts w:ascii="Times New Roman"/>
          <w:b w:val="false"/>
          <w:i w:val="false"/>
          <w:color w:val="000000"/>
          <w:sz w:val="28"/>
        </w:rPr>
        <w:t>Порядком</w:t>
      </w:r>
      <w:r>
        <w:rPr>
          <w:rFonts w:ascii="Times New Roman"/>
          <w:b w:val="false"/>
          <w:i w:val="false"/>
          <w:color w:val="000000"/>
          <w:sz w:val="28"/>
        </w:rPr>
        <w:t xml:space="preserve"> осуществления Евразийским экономическим союзом международного сотрудничества, утвержденным Решением Высшего Евразийского экономического совета от 23 декабря 2014 г. № 99.</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