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47be" w14:textId="bce4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Методических рекомендациях по классификации медицинских изделий для диагностики in vitro в зависимости от потенциального риска применения в целях их регистрации в рамках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23 сентября 2024 года № 20.</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p>
    <w:bookmarkEnd w:id="0"/>
    <w:bookmarkStart w:name="z5" w:id="1"/>
    <w:p>
      <w:pPr>
        <w:spacing w:after="0"/>
        <w:ind w:left="0"/>
        <w:jc w:val="both"/>
      </w:pPr>
      <w:r>
        <w:rPr>
          <w:rFonts w:ascii="Times New Roman"/>
          <w:b w:val="false"/>
          <w:i w:val="false"/>
          <w:color w:val="000000"/>
          <w:sz w:val="28"/>
        </w:rPr>
        <w:t>
      в целях проведения экспертизы безопасности, качества и эффективности медицинских изделий в рамках Евразийского экономического союза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рекомендует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Методические рекомендации по классификации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зависимости от потенциального риска применения в целях их регистрации в рамках Евразийского экономического союза согласно </w:t>
      </w:r>
      <w:r>
        <w:rPr>
          <w:rFonts w:ascii="Times New Roman"/>
          <w:b w:val="false"/>
          <w:i w:val="false"/>
          <w:color w:val="000000"/>
          <w:sz w:val="28"/>
        </w:rPr>
        <w:t>приложению</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23 сентября 2024 г. № 20 </w:t>
            </w:r>
          </w:p>
        </w:tc>
      </w:tr>
    </w:tbl>
    <w:bookmarkStart w:name="z9" w:id="2"/>
    <w:p>
      <w:pPr>
        <w:spacing w:after="0"/>
        <w:ind w:left="0"/>
        <w:jc w:val="left"/>
      </w:pPr>
      <w:r>
        <w:rPr>
          <w:rFonts w:ascii="Times New Roman"/>
          <w:b/>
          <w:i w:val="false"/>
          <w:color w:val="000000"/>
        </w:rPr>
        <w:t xml:space="preserve"> МЕТОДИЧЕСКИЕ РЕКОМЕНДАЦИИ</w:t>
      </w:r>
      <w:r>
        <w:br/>
      </w:r>
      <w:r>
        <w:rPr>
          <w:rFonts w:ascii="Times New Roman"/>
          <w:b/>
          <w:i w:val="false"/>
          <w:color w:val="000000"/>
        </w:rPr>
        <w:t>по классификации медицинских изделий для диагностики in vitro в зависимости от потенциального риска применения в целях их регистрации в рамках Евразийского экономического союза</w:t>
      </w:r>
    </w:p>
    <w:bookmarkEnd w:id="2"/>
    <w:bookmarkStart w:name="z10" w:id="3"/>
    <w:p>
      <w:pPr>
        <w:spacing w:after="0"/>
        <w:ind w:left="0"/>
        <w:jc w:val="left"/>
      </w:pPr>
      <w:r>
        <w:rPr>
          <w:rFonts w:ascii="Times New Roman"/>
          <w:b/>
          <w:i w:val="false"/>
          <w:color w:val="000000"/>
        </w:rPr>
        <w:t xml:space="preserve"> I. Общие положения</w:t>
      </w:r>
    </w:p>
    <w:bookmarkEnd w:id="3"/>
    <w:bookmarkStart w:name="z11" w:id="4"/>
    <w:p>
      <w:pPr>
        <w:spacing w:after="0"/>
        <w:ind w:left="0"/>
        <w:jc w:val="both"/>
      </w:pPr>
      <w:r>
        <w:rPr>
          <w:rFonts w:ascii="Times New Roman"/>
          <w:b w:val="false"/>
          <w:i w:val="false"/>
          <w:color w:val="000000"/>
          <w:sz w:val="28"/>
        </w:rPr>
        <w:t xml:space="preserve">
      1. Настоящие Методические рекомендации разработаны в целях установления подходов к классификации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(далее – медицинское изделие) в зависимости от потенциального риска применения в целях его регистрации в рамках Евразийского экономического союза в соответствии с </w:t>
      </w:r>
      <w:r>
        <w:rPr>
          <w:rFonts w:ascii="Times New Roman"/>
          <w:b w:val="false"/>
          <w:i w:val="false"/>
          <w:color w:val="000000"/>
          <w:sz w:val="28"/>
        </w:rPr>
        <w:t>разделом III</w:t>
      </w:r>
      <w:r>
        <w:rPr>
          <w:rFonts w:ascii="Times New Roman"/>
          <w:b w:val="false"/>
          <w:i w:val="false"/>
          <w:color w:val="000000"/>
          <w:sz w:val="28"/>
        </w:rPr>
        <w:t xml:space="preserve"> Правил классификации медицинских изделий в зависимости от потенциального риска применения, утвержденных Решением Коллегии Евразийской экономической комиссии от 22 декабря 2015 г. № 173 (далее – Правила классификации).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Правил классификации при классификации медицинского изделия учитываются следующие критерии:</w:t>
      </w:r>
    </w:p>
    <w:bookmarkEnd w:id="4"/>
    <w:bookmarkStart w:name="z12" w:id="5"/>
    <w:p>
      <w:pPr>
        <w:spacing w:after="0"/>
        <w:ind w:left="0"/>
        <w:jc w:val="both"/>
      </w:pPr>
      <w:r>
        <w:rPr>
          <w:rFonts w:ascii="Times New Roman"/>
          <w:b w:val="false"/>
          <w:i w:val="false"/>
          <w:color w:val="000000"/>
          <w:sz w:val="28"/>
        </w:rPr>
        <w:t>
      а) назначение медицинского изделия и показания к его применению, указанные производителем;</w:t>
      </w:r>
    </w:p>
    <w:bookmarkEnd w:id="5"/>
    <w:bookmarkStart w:name="z13" w:id="6"/>
    <w:p>
      <w:pPr>
        <w:spacing w:after="0"/>
        <w:ind w:left="0"/>
        <w:jc w:val="both"/>
      </w:pPr>
      <w:r>
        <w:rPr>
          <w:rFonts w:ascii="Times New Roman"/>
          <w:b w:val="false"/>
          <w:i w:val="false"/>
          <w:color w:val="000000"/>
          <w:sz w:val="28"/>
        </w:rPr>
        <w:t>
      б) технические, научные или медицинские знания предполагаемого пользователя (непрофессионального или профессионального);</w:t>
      </w:r>
    </w:p>
    <w:bookmarkEnd w:id="6"/>
    <w:bookmarkStart w:name="z14" w:id="7"/>
    <w:p>
      <w:pPr>
        <w:spacing w:after="0"/>
        <w:ind w:left="0"/>
        <w:jc w:val="both"/>
      </w:pPr>
      <w:r>
        <w:rPr>
          <w:rFonts w:ascii="Times New Roman"/>
          <w:b w:val="false"/>
          <w:i w:val="false"/>
          <w:color w:val="000000"/>
          <w:sz w:val="28"/>
        </w:rPr>
        <w:t>
      в) важность информации для постановки диагноза (единственный определяющий фактор или один из нескольких) с учетом наличия признаков и симптомов заболевания, состояния или другой клинической информации, которой может руководствоваться врач;</w:t>
      </w:r>
    </w:p>
    <w:bookmarkEnd w:id="7"/>
    <w:bookmarkStart w:name="z15" w:id="8"/>
    <w:p>
      <w:pPr>
        <w:spacing w:after="0"/>
        <w:ind w:left="0"/>
        <w:jc w:val="both"/>
      </w:pPr>
      <w:r>
        <w:rPr>
          <w:rFonts w:ascii="Times New Roman"/>
          <w:b w:val="false"/>
          <w:i w:val="false"/>
          <w:color w:val="000000"/>
          <w:sz w:val="28"/>
        </w:rPr>
        <w:t>
      г) влияние результата (истинного или ложного) на здоровье отдельного человека и (или) на общественное здоровье.</w:t>
      </w:r>
    </w:p>
    <w:bookmarkEnd w:id="8"/>
    <w:bookmarkStart w:name="z16" w:id="9"/>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пункту 33</w:t>
      </w:r>
      <w:r>
        <w:rPr>
          <w:rFonts w:ascii="Times New Roman"/>
          <w:b w:val="false"/>
          <w:i w:val="false"/>
          <w:color w:val="000000"/>
          <w:sz w:val="28"/>
        </w:rPr>
        <w:t xml:space="preserve"> Правил классификации в случае если с учетом представленных производителем сведений в отношении медицинского изделия применимы несколько пунктов Правил классификации, применяется пункт, согласно которому устанавливается класс медицинского изделия, соответствующий наибольшей степени потенциального риска применения.</w:t>
      </w:r>
    </w:p>
    <w:bookmarkEnd w:id="9"/>
    <w:bookmarkStart w:name="z17" w:id="10"/>
    <w:p>
      <w:pPr>
        <w:spacing w:after="0"/>
        <w:ind w:left="0"/>
        <w:jc w:val="both"/>
      </w:pPr>
      <w:r>
        <w:rPr>
          <w:rFonts w:ascii="Times New Roman"/>
          <w:b w:val="false"/>
          <w:i w:val="false"/>
          <w:color w:val="000000"/>
          <w:sz w:val="28"/>
        </w:rPr>
        <w:t xml:space="preserve">
      Производителю следует указывать в документации информацию, позволяющую однозначно идентифицировать назначение медицинского изделия для целей применения положений Правил классификации. В случаях, когда существует прогнозируемый риск использования медицинского изделия для целей, указанных в иных пунктах Правил классификации, и которые могут привести к отнесению медицинского изделия к более высокому классу, в инструкцию по применению и техническую документацию (технический файл) медицинского изделия следует включить сведения об ограничениях по его использованию. </w:t>
      </w:r>
    </w:p>
    <w:bookmarkEnd w:id="10"/>
    <w:bookmarkStart w:name="z18" w:id="1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w:t>
      </w:r>
      <w:r>
        <w:rPr>
          <w:rFonts w:ascii="Times New Roman"/>
          <w:b w:val="false"/>
          <w:i w:val="false"/>
          <w:color w:val="000000"/>
          <w:sz w:val="28"/>
        </w:rPr>
        <w:t xml:space="preserve"> Реагенты для выявления </w:t>
      </w:r>
      <w:r>
        <w:rPr>
          <w:rFonts w:ascii="Times New Roman"/>
          <w:b w:val="false"/>
          <w:i/>
          <w:color w:val="000000"/>
          <w:sz w:val="28"/>
        </w:rPr>
        <w:t>Treponema</w:t>
      </w:r>
      <w:r>
        <w:rPr>
          <w:rFonts w:ascii="Times New Roman"/>
          <w:b w:val="false"/>
          <w:i w:val="false"/>
          <w:color w:val="000000"/>
          <w:sz w:val="28"/>
        </w:rPr>
        <w:t xml:space="preserve"> </w:t>
      </w:r>
      <w:r>
        <w:rPr>
          <w:rFonts w:ascii="Times New Roman"/>
          <w:b w:val="false"/>
          <w:i/>
          <w:color w:val="000000"/>
          <w:sz w:val="28"/>
        </w:rPr>
        <w:t>pallidum</w:t>
      </w:r>
      <w:r>
        <w:rPr>
          <w:rFonts w:ascii="Times New Roman"/>
          <w:b w:val="false"/>
          <w:i w:val="false"/>
          <w:color w:val="000000"/>
          <w:sz w:val="28"/>
        </w:rPr>
        <w:t xml:space="preserve"> в крови могут быть предназначены как для оценки пригодности крови для переливания, трансплантации или введения клеток при скрининге донорской крови (в этом случае медицинское изделие относится к классу 3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Правил классификации), так и для выявления в качестве инфекционного агента заболевания, передающегося половым путем (в таком случае медицинское изделие относится к классу 2б в соответствии с подпунктом "а" пункта 37 Правил классификации). Для отнесения медицинского изделия к классу 2б производителю следует включить в инструкцию по применению ограничение: "изделие не предназначено для выявления </w:t>
      </w:r>
      <w:r>
        <w:rPr>
          <w:rFonts w:ascii="Times New Roman"/>
          <w:b w:val="false"/>
          <w:i/>
          <w:color w:val="000000"/>
          <w:sz w:val="28"/>
        </w:rPr>
        <w:t>Treponema</w:t>
      </w:r>
      <w:r>
        <w:rPr>
          <w:rFonts w:ascii="Times New Roman"/>
          <w:b w:val="false"/>
          <w:i w:val="false"/>
          <w:color w:val="000000"/>
          <w:sz w:val="28"/>
        </w:rPr>
        <w:t xml:space="preserve"> </w:t>
      </w:r>
      <w:r>
        <w:rPr>
          <w:rFonts w:ascii="Times New Roman"/>
          <w:b w:val="false"/>
          <w:i/>
          <w:color w:val="000000"/>
          <w:sz w:val="28"/>
        </w:rPr>
        <w:t>pallidum</w:t>
      </w:r>
      <w:r>
        <w:rPr>
          <w:rFonts w:ascii="Times New Roman"/>
          <w:b w:val="false"/>
          <w:i w:val="false"/>
          <w:color w:val="000000"/>
          <w:sz w:val="28"/>
        </w:rPr>
        <w:t xml:space="preserve"> при скрининге донорской крови с целью оценки пригодности крови для переливания, трансплантации или введения клеток".</w:t>
      </w:r>
    </w:p>
    <w:bookmarkEnd w:id="11"/>
    <w:bookmarkStart w:name="z19" w:id="12"/>
    <w:p>
      <w:pPr>
        <w:spacing w:after="0"/>
        <w:ind w:left="0"/>
        <w:jc w:val="both"/>
      </w:pPr>
      <w:r>
        <w:rPr>
          <w:rFonts w:ascii="Times New Roman"/>
          <w:b w:val="false"/>
          <w:i w:val="false"/>
          <w:color w:val="000000"/>
          <w:sz w:val="28"/>
        </w:rPr>
        <w:t xml:space="preserve">
      3. Применение положений Правил классификации к медицинским изделиям не зависит от типа исследуемого биологического материала, если иное специально не указано в Правилах классификации. </w:t>
      </w:r>
    </w:p>
    <w:bookmarkEnd w:id="12"/>
    <w:bookmarkStart w:name="z20" w:id="1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w:t>
      </w:r>
      <w:r>
        <w:rPr>
          <w:rFonts w:ascii="Times New Roman"/>
          <w:b w:val="false"/>
          <w:i w:val="false"/>
          <w:color w:val="000000"/>
          <w:sz w:val="28"/>
        </w:rPr>
        <w:t xml:space="preserve"> Подпункт "а" </w:t>
      </w:r>
      <w:r>
        <w:rPr>
          <w:rFonts w:ascii="Times New Roman"/>
          <w:b w:val="false"/>
          <w:i w:val="false"/>
          <w:color w:val="000000"/>
          <w:sz w:val="28"/>
        </w:rPr>
        <w:t>пункта 37</w:t>
      </w:r>
      <w:r>
        <w:rPr>
          <w:rFonts w:ascii="Times New Roman"/>
          <w:b w:val="false"/>
          <w:i w:val="false"/>
          <w:color w:val="000000"/>
          <w:sz w:val="28"/>
        </w:rPr>
        <w:t xml:space="preserve"> Правил классификации в равной степени применим к различным типам биологических материалов, например, кровь, моча, соскобы эпителиальных клеток. При этом в </w:t>
      </w:r>
      <w:r>
        <w:rPr>
          <w:rFonts w:ascii="Times New Roman"/>
          <w:b w:val="false"/>
          <w:i w:val="false"/>
          <w:color w:val="000000"/>
          <w:sz w:val="28"/>
        </w:rPr>
        <w:t>подпункте "б"</w:t>
      </w:r>
      <w:r>
        <w:rPr>
          <w:rFonts w:ascii="Times New Roman"/>
          <w:b w:val="false"/>
          <w:i w:val="false"/>
          <w:color w:val="000000"/>
          <w:sz w:val="28"/>
        </w:rPr>
        <w:t xml:space="preserve"> пункта 37 Правил классификации определен тип биологического материала (цереброспинальная жидкость или кровь).</w:t>
      </w:r>
    </w:p>
    <w:bookmarkEnd w:id="13"/>
    <w:bookmarkStart w:name="z21" w:id="14"/>
    <w:p>
      <w:pPr>
        <w:spacing w:after="0"/>
        <w:ind w:left="0"/>
        <w:jc w:val="both"/>
      </w:pPr>
      <w:r>
        <w:rPr>
          <w:rFonts w:ascii="Times New Roman"/>
          <w:b w:val="false"/>
          <w:i w:val="false"/>
          <w:color w:val="000000"/>
          <w:sz w:val="28"/>
        </w:rPr>
        <w:t>
      Приведенные в настоящих Методических рекомендациях примеры не являются исчерпывающими.</w:t>
      </w:r>
    </w:p>
    <w:bookmarkEnd w:id="14"/>
    <w:bookmarkStart w:name="z22" w:id="15"/>
    <w:p>
      <w:pPr>
        <w:spacing w:after="0"/>
        <w:ind w:left="0"/>
        <w:jc w:val="left"/>
      </w:pPr>
      <w:r>
        <w:rPr>
          <w:rFonts w:ascii="Times New Roman"/>
          <w:b/>
          <w:i w:val="false"/>
          <w:color w:val="000000"/>
        </w:rPr>
        <w:t xml:space="preserve"> II. Особенности классификации медицинских изделий </w:t>
      </w:r>
      <w:r>
        <w:br/>
      </w:r>
      <w:r>
        <w:rPr>
          <w:rFonts w:ascii="Times New Roman"/>
          <w:b/>
          <w:i w:val="false"/>
          <w:color w:val="000000"/>
        </w:rPr>
        <w:t>для диагностики in vitro</w:t>
      </w:r>
    </w:p>
    <w:bookmarkEnd w:id="15"/>
    <w:bookmarkStart w:name="z23" w:id="16"/>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Правил классификации к классу 3 относятся:</w:t>
      </w:r>
    </w:p>
    <w:bookmarkEnd w:id="16"/>
    <w:bookmarkStart w:name="z24" w:id="17"/>
    <w:p>
      <w:pPr>
        <w:spacing w:after="0"/>
        <w:ind w:left="0"/>
        <w:jc w:val="both"/>
      </w:pPr>
      <w:r>
        <w:rPr>
          <w:rFonts w:ascii="Times New Roman"/>
          <w:b w:val="false"/>
          <w:i w:val="false"/>
          <w:color w:val="000000"/>
          <w:sz w:val="28"/>
        </w:rPr>
        <w:t>
      а) медицинские изделия, предназначенные для выявления инфекционных агентов в крови, компонентах крови, производных крови, клетках, тканях или органах в целях оценки возможности их переливания или трансплантации;</w:t>
      </w:r>
    </w:p>
    <w:bookmarkEnd w:id="17"/>
    <w:bookmarkStart w:name="z25" w:id="18"/>
    <w:p>
      <w:pPr>
        <w:spacing w:after="0"/>
        <w:ind w:left="0"/>
        <w:jc w:val="both"/>
      </w:pPr>
      <w:r>
        <w:rPr>
          <w:rFonts w:ascii="Times New Roman"/>
          <w:b w:val="false"/>
          <w:i w:val="false"/>
          <w:color w:val="000000"/>
          <w:sz w:val="28"/>
        </w:rPr>
        <w:t>
      б) медицинские изделия, предназначенные для выявления инфекционных агентов, которые приводят к длительной инвалидности или смерти, с высоким или предполагаемо высоким риском распространения.</w:t>
      </w:r>
    </w:p>
    <w:bookmarkEnd w:id="18"/>
    <w:bookmarkStart w:name="z26" w:id="19"/>
    <w:p>
      <w:pPr>
        <w:spacing w:after="0"/>
        <w:ind w:left="0"/>
        <w:jc w:val="both"/>
      </w:pPr>
      <w:r>
        <w:rPr>
          <w:rFonts w:ascii="Times New Roman"/>
          <w:b w:val="false"/>
          <w:i w:val="false"/>
          <w:color w:val="000000"/>
          <w:sz w:val="28"/>
        </w:rPr>
        <w:t>
      5. Медицинские изделия, указанные в подпункте "а" пункта 4 настоящих Методических рекомендаций, предназначены для обнаружения инфекционных агентов, включенных в порядок проведения медицинского обследования донора и донорских объектов, в контексте риска передачи инфекции. Результат исследования в данном случае будет основным фактором, определяющим возможность (невозможность) использования проанализированного донорского объекта.</w:t>
      </w:r>
    </w:p>
    <w:bookmarkEnd w:id="19"/>
    <w:bookmarkStart w:name="z27" w:id="20"/>
    <w:p>
      <w:pPr>
        <w:spacing w:after="0"/>
        <w:ind w:left="0"/>
        <w:jc w:val="both"/>
      </w:pPr>
      <w:r>
        <w:rPr>
          <w:rFonts w:ascii="Times New Roman"/>
          <w:b w:val="false"/>
          <w:i w:val="false"/>
          <w:color w:val="000000"/>
          <w:sz w:val="28"/>
        </w:rPr>
        <w:t>
      Примерами таких медицинских изделий могут являться медицинские изделия, предназначенные для выявления следующих инфекционных агентов:</w:t>
      </w:r>
    </w:p>
    <w:bookmarkEnd w:id="20"/>
    <w:bookmarkStart w:name="z28" w:id="21"/>
    <w:p>
      <w:pPr>
        <w:spacing w:after="0"/>
        <w:ind w:left="0"/>
        <w:jc w:val="both"/>
      </w:pPr>
      <w:r>
        <w:rPr>
          <w:rFonts w:ascii="Times New Roman"/>
          <w:b w:val="false"/>
          <w:i w:val="false"/>
          <w:color w:val="000000"/>
          <w:sz w:val="28"/>
        </w:rPr>
        <w:t xml:space="preserve">
      вирус гепатита В; </w:t>
      </w:r>
    </w:p>
    <w:bookmarkEnd w:id="21"/>
    <w:bookmarkStart w:name="z29" w:id="22"/>
    <w:p>
      <w:pPr>
        <w:spacing w:after="0"/>
        <w:ind w:left="0"/>
        <w:jc w:val="both"/>
      </w:pPr>
      <w:r>
        <w:rPr>
          <w:rFonts w:ascii="Times New Roman"/>
          <w:b w:val="false"/>
          <w:i w:val="false"/>
          <w:color w:val="000000"/>
          <w:sz w:val="28"/>
        </w:rPr>
        <w:t>
      вирус гепатита С;</w:t>
      </w:r>
    </w:p>
    <w:bookmarkEnd w:id="22"/>
    <w:bookmarkStart w:name="z30" w:id="23"/>
    <w:p>
      <w:pPr>
        <w:spacing w:after="0"/>
        <w:ind w:left="0"/>
        <w:jc w:val="both"/>
      </w:pPr>
      <w:r>
        <w:rPr>
          <w:rFonts w:ascii="Times New Roman"/>
          <w:b w:val="false"/>
          <w:i w:val="false"/>
          <w:color w:val="000000"/>
          <w:sz w:val="28"/>
        </w:rPr>
        <w:t>
      вирус иммунодефицита человека 1 и 2 типов.</w:t>
      </w:r>
    </w:p>
    <w:bookmarkEnd w:id="23"/>
    <w:bookmarkStart w:name="z31" w:id="24"/>
    <w:p>
      <w:pPr>
        <w:spacing w:after="0"/>
        <w:ind w:left="0"/>
        <w:jc w:val="both"/>
      </w:pPr>
      <w:r>
        <w:rPr>
          <w:rFonts w:ascii="Times New Roman"/>
          <w:b w:val="false"/>
          <w:i w:val="false"/>
          <w:color w:val="000000"/>
          <w:sz w:val="28"/>
        </w:rPr>
        <w:t>
      В случаях, когда существует предсказуемый риск того, что в целях, указанных в подпункте "а" пункта 4 настоящих Методических рекомендаций, могут быть использованы медицинские изделия, не предназначенные их производителем для данных целей, в документах регистрационного досье (в том числе в инструкциях по применению) на такие медицинские изделия должны быть представлены сведения, однозначно указывающие о соответствующих ограничениях.</w:t>
      </w:r>
    </w:p>
    <w:bookmarkEnd w:id="24"/>
    <w:bookmarkStart w:name="z32" w:id="2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w:t>
      </w:r>
      <w:r>
        <w:rPr>
          <w:rFonts w:ascii="Times New Roman"/>
          <w:b w:val="false"/>
          <w:i w:val="false"/>
          <w:color w:val="000000"/>
          <w:sz w:val="28"/>
        </w:rPr>
        <w:t xml:space="preserve"> "медицинское изделие не предназначено для обнаружения трансмиссивных агентов в крови, компонентах крови, клетках, тканях, органах или любых их производных с целью оценки их пригодности для переливания, трансплантации или введения клеток".</w:t>
      </w:r>
    </w:p>
    <w:bookmarkEnd w:id="25"/>
    <w:bookmarkStart w:name="z33" w:id="26"/>
    <w:p>
      <w:pPr>
        <w:spacing w:after="0"/>
        <w:ind w:left="0"/>
        <w:jc w:val="both"/>
      </w:pPr>
      <w:r>
        <w:rPr>
          <w:rFonts w:ascii="Times New Roman"/>
          <w:b w:val="false"/>
          <w:i w:val="false"/>
          <w:color w:val="000000"/>
          <w:sz w:val="28"/>
        </w:rPr>
        <w:t>
      6. Подпункт "б" пункта 4 настоящих Методических рекомендаций применяется к медицинским изделиям, предназначенным для выявления инфекционных агентов, которые приводят к длительной инвалидности или смерти, с высоким или предполагаемо высоким риском распространения, независимо от того, предназначено ли медицинское изделие для диагностики, подтверждения или относится к вспомогательным исследованиям.</w:t>
      </w:r>
    </w:p>
    <w:bookmarkEnd w:id="26"/>
    <w:bookmarkStart w:name="z34" w:id="27"/>
    <w:p>
      <w:pPr>
        <w:spacing w:after="0"/>
        <w:ind w:left="0"/>
        <w:jc w:val="both"/>
      </w:pPr>
      <w:r>
        <w:rPr>
          <w:rFonts w:ascii="Times New Roman"/>
          <w:b w:val="false"/>
          <w:i w:val="false"/>
          <w:color w:val="000000"/>
          <w:sz w:val="28"/>
        </w:rPr>
        <w:t>
      Примерами таких медицинских изделий могут являться медицинские изделия, предназначенные для выявления следующих инфекционных агентов:</w:t>
      </w:r>
    </w:p>
    <w:bookmarkEnd w:id="27"/>
    <w:bookmarkStart w:name="z35" w:id="28"/>
    <w:p>
      <w:pPr>
        <w:spacing w:after="0"/>
        <w:ind w:left="0"/>
        <w:jc w:val="both"/>
      </w:pPr>
      <w:r>
        <w:rPr>
          <w:rFonts w:ascii="Times New Roman"/>
          <w:b w:val="false"/>
          <w:i w:val="false"/>
          <w:color w:val="000000"/>
          <w:sz w:val="28"/>
        </w:rPr>
        <w:t>
      вирус гепатита В;</w:t>
      </w:r>
    </w:p>
    <w:bookmarkEnd w:id="28"/>
    <w:bookmarkStart w:name="z36" w:id="29"/>
    <w:p>
      <w:pPr>
        <w:spacing w:after="0"/>
        <w:ind w:left="0"/>
        <w:jc w:val="both"/>
      </w:pPr>
      <w:r>
        <w:rPr>
          <w:rFonts w:ascii="Times New Roman"/>
          <w:b w:val="false"/>
          <w:i w:val="false"/>
          <w:color w:val="000000"/>
          <w:sz w:val="28"/>
        </w:rPr>
        <w:t>
      вирус гепатита С;</w:t>
      </w:r>
    </w:p>
    <w:bookmarkEnd w:id="29"/>
    <w:bookmarkStart w:name="z37" w:id="30"/>
    <w:p>
      <w:pPr>
        <w:spacing w:after="0"/>
        <w:ind w:left="0"/>
        <w:jc w:val="both"/>
      </w:pPr>
      <w:r>
        <w:rPr>
          <w:rFonts w:ascii="Times New Roman"/>
          <w:b w:val="false"/>
          <w:i w:val="false"/>
          <w:color w:val="000000"/>
          <w:sz w:val="28"/>
        </w:rPr>
        <w:t>
      вирус гепатита D;</w:t>
      </w:r>
    </w:p>
    <w:bookmarkEnd w:id="30"/>
    <w:bookmarkStart w:name="z38" w:id="31"/>
    <w:p>
      <w:pPr>
        <w:spacing w:after="0"/>
        <w:ind w:left="0"/>
        <w:jc w:val="both"/>
      </w:pPr>
      <w:r>
        <w:rPr>
          <w:rFonts w:ascii="Times New Roman"/>
          <w:b w:val="false"/>
          <w:i w:val="false"/>
          <w:color w:val="000000"/>
          <w:sz w:val="28"/>
        </w:rPr>
        <w:t>
      вирусы геморрагической лихорадки (например, Эбола, Марбург, Ласса, Конго-крымская геморрагическая лихорадка);</w:t>
      </w:r>
    </w:p>
    <w:bookmarkEnd w:id="31"/>
    <w:bookmarkStart w:name="z39" w:id="32"/>
    <w:p>
      <w:pPr>
        <w:spacing w:after="0"/>
        <w:ind w:left="0"/>
        <w:jc w:val="both"/>
      </w:pPr>
      <w:r>
        <w:rPr>
          <w:rFonts w:ascii="Times New Roman"/>
          <w:b w:val="false"/>
          <w:i w:val="false"/>
          <w:color w:val="000000"/>
          <w:sz w:val="28"/>
        </w:rPr>
        <w:t>
      вирус иммунодефицита человека 1 и 2 типов;</w:t>
      </w:r>
    </w:p>
    <w:bookmarkEnd w:id="32"/>
    <w:bookmarkStart w:name="z40" w:id="33"/>
    <w:p>
      <w:pPr>
        <w:spacing w:after="0"/>
        <w:ind w:left="0"/>
        <w:jc w:val="both"/>
      </w:pPr>
      <w:r>
        <w:rPr>
          <w:rFonts w:ascii="Times New Roman"/>
          <w:b w:val="false"/>
          <w:i w:val="false"/>
          <w:color w:val="000000"/>
          <w:sz w:val="28"/>
        </w:rPr>
        <w:t>
      высоковирулентный вирус гриппа H5N1;</w:t>
      </w:r>
    </w:p>
    <w:bookmarkEnd w:id="33"/>
    <w:bookmarkStart w:name="z41" w:id="34"/>
    <w:p>
      <w:pPr>
        <w:spacing w:after="0"/>
        <w:ind w:left="0"/>
        <w:jc w:val="both"/>
      </w:pPr>
      <w:r>
        <w:rPr>
          <w:rFonts w:ascii="Times New Roman"/>
          <w:b w:val="false"/>
          <w:i w:val="false"/>
          <w:color w:val="000000"/>
          <w:sz w:val="28"/>
        </w:rPr>
        <w:t>
      Т-лимфотропный вирус человека 1 и 2 типов;</w:t>
      </w:r>
    </w:p>
    <w:bookmarkEnd w:id="34"/>
    <w:bookmarkStart w:name="z42" w:id="35"/>
    <w:p>
      <w:pPr>
        <w:spacing w:after="0"/>
        <w:ind w:left="0"/>
        <w:jc w:val="both"/>
      </w:pPr>
      <w:r>
        <w:rPr>
          <w:rFonts w:ascii="Times New Roman"/>
          <w:b w:val="false"/>
          <w:i w:val="false"/>
          <w:color w:val="000000"/>
          <w:sz w:val="28"/>
        </w:rPr>
        <w:t>
      коронавирусы SARS-CoV и SARS-CoV-2;</w:t>
      </w:r>
    </w:p>
    <w:bookmarkEnd w:id="35"/>
    <w:bookmarkStart w:name="z43" w:id="36"/>
    <w:p>
      <w:pPr>
        <w:spacing w:after="0"/>
        <w:ind w:left="0"/>
        <w:jc w:val="both"/>
      </w:pPr>
      <w:r>
        <w:rPr>
          <w:rFonts w:ascii="Times New Roman"/>
          <w:b w:val="false"/>
          <w:i w:val="false"/>
          <w:color w:val="000000"/>
          <w:sz w:val="28"/>
        </w:rPr>
        <w:t>
      коронавирус MERS;</w:t>
      </w:r>
    </w:p>
    <w:bookmarkEnd w:id="36"/>
    <w:bookmarkStart w:name="z44" w:id="37"/>
    <w:p>
      <w:pPr>
        <w:spacing w:after="0"/>
        <w:ind w:left="0"/>
        <w:jc w:val="both"/>
      </w:pPr>
      <w:r>
        <w:rPr>
          <w:rFonts w:ascii="Times New Roman"/>
          <w:b w:val="false"/>
          <w:i w:val="false"/>
          <w:color w:val="000000"/>
          <w:sz w:val="28"/>
        </w:rPr>
        <w:t>
      вирусы натуральной оспы.</w:t>
      </w:r>
    </w:p>
    <w:bookmarkEnd w:id="37"/>
    <w:bookmarkStart w:name="z45" w:id="38"/>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Правил классификации медицинские изделия, используемые для определения групп крови или для определения групповой несовместимости крови матери и плода или типов тканей в целях гарантии иммунологической совместимости крови, компонентов крови, клеток, тканей или органов, предназначенных для переливания или трансплантации, относятся к классу 2б, за исключением используемых для определения антигенов или антител системы AB0 (A (AB01), B (AB02), AB (AB03)), резус-системы (Rh1 (D), Rh2 (C), Rh3 (E), Rh4 (c), Rh5 (e) и слабый или парциальный Rh (D)), системы Kелл (Kell (K)), системы Kидд (JK1 (Jka), JK2 (Jkb)) и системы Даффи (FY1 (Fya), FY2 (Fyb)), которые относятся к классу 3.</w:t>
      </w:r>
    </w:p>
    <w:bookmarkEnd w:id="38"/>
    <w:bookmarkStart w:name="z46" w:id="3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36</w:t>
      </w:r>
      <w:r>
        <w:rPr>
          <w:rFonts w:ascii="Times New Roman"/>
          <w:b w:val="false"/>
          <w:i w:val="false"/>
          <w:color w:val="000000"/>
          <w:sz w:val="28"/>
        </w:rPr>
        <w:t xml:space="preserve"> Правил классификации следует в равной степени относить к исследованию донора и реципиента. Этот пункт Правил классификации делит медицинские изделия для определения группы крови на 2 класса в зависимости от вероятности того, что маркер группы крови может вызвать иммуногенный ответ или тяжелую гемолитическую трансфузионную реакцию. Маркеры эритроцитов, указанные в </w:t>
      </w:r>
      <w:r>
        <w:rPr>
          <w:rFonts w:ascii="Times New Roman"/>
          <w:b w:val="false"/>
          <w:i w:val="false"/>
          <w:color w:val="000000"/>
          <w:sz w:val="28"/>
        </w:rPr>
        <w:t>пункте 36</w:t>
      </w:r>
      <w:r>
        <w:rPr>
          <w:rFonts w:ascii="Times New Roman"/>
          <w:b w:val="false"/>
          <w:i w:val="false"/>
          <w:color w:val="000000"/>
          <w:sz w:val="28"/>
        </w:rPr>
        <w:t xml:space="preserve"> Правил классификации, имеют решающее значение для обеспечения иммунологической совместимости и безопасного переливания крови и ее компонентов. При этом медицинские изделия, относящиеся к этим маркерам и предназначенные для скрининга, диагностики, подтверждения или дополнения, относятся к классу риска 3.</w:t>
      </w:r>
    </w:p>
    <w:bookmarkEnd w:id="39"/>
    <w:bookmarkStart w:name="z47" w:id="40"/>
    <w:p>
      <w:pPr>
        <w:spacing w:after="0"/>
        <w:ind w:left="0"/>
        <w:jc w:val="both"/>
      </w:pPr>
      <w:r>
        <w:rPr>
          <w:rFonts w:ascii="Times New Roman"/>
          <w:b w:val="false"/>
          <w:i w:val="false"/>
          <w:color w:val="000000"/>
          <w:sz w:val="28"/>
        </w:rPr>
        <w:t xml:space="preserve">
      Примерами медицинских изделий, классифицируемых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Правил классификации и относящихся к классу риска 3, могут являться:</w:t>
      </w:r>
    </w:p>
    <w:bookmarkEnd w:id="40"/>
    <w:bookmarkStart w:name="z48" w:id="41"/>
    <w:p>
      <w:pPr>
        <w:spacing w:after="0"/>
        <w:ind w:left="0"/>
        <w:jc w:val="both"/>
      </w:pPr>
      <w:r>
        <w:rPr>
          <w:rFonts w:ascii="Times New Roman"/>
          <w:b w:val="false"/>
          <w:i w:val="false"/>
          <w:color w:val="000000"/>
          <w:sz w:val="28"/>
        </w:rPr>
        <w:t>
      медицинские изделия для определения экспрессии групп АВ0 и резус (Rh) D, Weak D, C, E, c, e у донора и реципиента, например, серологическим исследованием или молекулярным генотипированием;</w:t>
      </w:r>
    </w:p>
    <w:bookmarkEnd w:id="41"/>
    <w:bookmarkStart w:name="z49" w:id="42"/>
    <w:p>
      <w:pPr>
        <w:spacing w:after="0"/>
        <w:ind w:left="0"/>
        <w:jc w:val="both"/>
      </w:pPr>
      <w:r>
        <w:rPr>
          <w:rFonts w:ascii="Times New Roman"/>
          <w:b w:val="false"/>
          <w:i w:val="false"/>
          <w:color w:val="000000"/>
          <w:sz w:val="28"/>
        </w:rPr>
        <w:t>
      медицинские изделия для определения парциального D, так как пациенты с положительным антигеном D подвержены риску аллоиммунизации анти-D;</w:t>
      </w:r>
    </w:p>
    <w:bookmarkEnd w:id="42"/>
    <w:bookmarkStart w:name="z50" w:id="43"/>
    <w:p>
      <w:pPr>
        <w:spacing w:after="0"/>
        <w:ind w:left="0"/>
        <w:jc w:val="both"/>
      </w:pPr>
      <w:r>
        <w:rPr>
          <w:rFonts w:ascii="Times New Roman"/>
          <w:b w:val="false"/>
          <w:i w:val="false"/>
          <w:color w:val="000000"/>
          <w:sz w:val="28"/>
        </w:rPr>
        <w:t>
      медицинские изделия для обнаружения антител анти-А и анти-В для обратного типирования по системе АВ0, так как для определения группы крови по системе АВ0 требуется как прямое (антиген), так и обратное (антитело) типирование;</w:t>
      </w:r>
    </w:p>
    <w:bookmarkEnd w:id="43"/>
    <w:bookmarkStart w:name="z51" w:id="44"/>
    <w:p>
      <w:pPr>
        <w:spacing w:after="0"/>
        <w:ind w:left="0"/>
        <w:jc w:val="both"/>
      </w:pPr>
      <w:r>
        <w:rPr>
          <w:rFonts w:ascii="Times New Roman"/>
          <w:b w:val="false"/>
          <w:i w:val="false"/>
          <w:color w:val="000000"/>
          <w:sz w:val="28"/>
        </w:rPr>
        <w:t xml:space="preserve">
      медицинские изделия для скрининга, обнаружения или идентификации антител эритроцитов для системы Rh (анти-RH-антитела), системы Келл (анти-KEL1-антитела), системы Кидд (анти-JK1 и анти-JK2-антитела) и системы Даффи (анти-FY1 и -FY2 антитела); </w:t>
      </w:r>
    </w:p>
    <w:bookmarkEnd w:id="44"/>
    <w:bookmarkStart w:name="z52" w:id="45"/>
    <w:p>
      <w:pPr>
        <w:spacing w:after="0"/>
        <w:ind w:left="0"/>
        <w:jc w:val="both"/>
      </w:pPr>
      <w:r>
        <w:rPr>
          <w:rFonts w:ascii="Times New Roman"/>
          <w:b w:val="false"/>
          <w:i w:val="false"/>
          <w:color w:val="000000"/>
          <w:sz w:val="28"/>
        </w:rPr>
        <w:t>
      медицинские изделия для типирования специфических антигенов эритроцитов (KEL1, JK1, JK2, FY1, FY2);</w:t>
      </w:r>
    </w:p>
    <w:bookmarkEnd w:id="45"/>
    <w:bookmarkStart w:name="z53" w:id="46"/>
    <w:p>
      <w:pPr>
        <w:spacing w:after="0"/>
        <w:ind w:left="0"/>
        <w:jc w:val="both"/>
      </w:pPr>
      <w:r>
        <w:rPr>
          <w:rFonts w:ascii="Times New Roman"/>
          <w:b w:val="false"/>
          <w:i w:val="false"/>
          <w:color w:val="000000"/>
          <w:sz w:val="28"/>
        </w:rPr>
        <w:t>
      медицинское изделие для молекулярного типирования группы крови RhD, нацеленного непосредственно на аллели гена RHD, кодирующие антигены эритроцитов, у доноров и реципиентов крови;</w:t>
      </w:r>
    </w:p>
    <w:bookmarkEnd w:id="46"/>
    <w:bookmarkStart w:name="z54" w:id="47"/>
    <w:p>
      <w:pPr>
        <w:spacing w:after="0"/>
        <w:ind w:left="0"/>
        <w:jc w:val="both"/>
      </w:pPr>
      <w:r>
        <w:rPr>
          <w:rFonts w:ascii="Times New Roman"/>
          <w:b w:val="false"/>
          <w:i w:val="false"/>
          <w:color w:val="000000"/>
          <w:sz w:val="28"/>
        </w:rPr>
        <w:t xml:space="preserve">
      медицинские изделия для определения антигена Anti-K, человеческих антител IgM, реагенты для типирования крови по группам для целей переливания; </w:t>
      </w:r>
    </w:p>
    <w:bookmarkEnd w:id="47"/>
    <w:bookmarkStart w:name="z55" w:id="48"/>
    <w:p>
      <w:pPr>
        <w:spacing w:after="0"/>
        <w:ind w:left="0"/>
        <w:jc w:val="both"/>
      </w:pPr>
      <w:r>
        <w:rPr>
          <w:rFonts w:ascii="Times New Roman"/>
          <w:b w:val="false"/>
          <w:i w:val="false"/>
          <w:color w:val="000000"/>
          <w:sz w:val="28"/>
        </w:rPr>
        <w:t>
      медицинские изделия, представляющие собой набор эритроцитов с клетками A1, A2, B и 0, используемый для обнаружения антител группы крови AB0 в образцах биологических материалов пациентов и доноров;</w:t>
      </w:r>
    </w:p>
    <w:bookmarkEnd w:id="48"/>
    <w:bookmarkStart w:name="z56" w:id="49"/>
    <w:p>
      <w:pPr>
        <w:spacing w:after="0"/>
        <w:ind w:left="0"/>
        <w:jc w:val="both"/>
      </w:pPr>
      <w:r>
        <w:rPr>
          <w:rFonts w:ascii="Times New Roman"/>
          <w:b w:val="false"/>
          <w:i w:val="false"/>
          <w:color w:val="000000"/>
          <w:sz w:val="28"/>
        </w:rPr>
        <w:t>
      медицинские изделия, представляющие собой набор эритроцитов с 0 эритроцитами, гомозиготными по Rh, Fya, Fyb, Jka и Jkb, антигенам, предназначенный для использования в процедурах типирования крови для целей переливания;</w:t>
      </w:r>
    </w:p>
    <w:bookmarkEnd w:id="49"/>
    <w:bookmarkStart w:name="z57" w:id="50"/>
    <w:p>
      <w:pPr>
        <w:spacing w:after="0"/>
        <w:ind w:left="0"/>
        <w:jc w:val="both"/>
      </w:pPr>
      <w:r>
        <w:rPr>
          <w:rFonts w:ascii="Times New Roman"/>
          <w:b w:val="false"/>
          <w:i w:val="false"/>
          <w:color w:val="000000"/>
          <w:sz w:val="28"/>
        </w:rPr>
        <w:t xml:space="preserve">
      медицинские изделия, представляющие собой контрольные эритроциты фенотипа A2B R1R2 (CcD.Ee) KEL 1, предназначенные для контроля качества для использования в анализах группировки AB0/Rh(D)/Kell в целях гемотрансфузий; </w:t>
      </w:r>
    </w:p>
    <w:bookmarkEnd w:id="50"/>
    <w:bookmarkStart w:name="z58" w:id="51"/>
    <w:p>
      <w:pPr>
        <w:spacing w:after="0"/>
        <w:ind w:left="0"/>
        <w:jc w:val="both"/>
      </w:pPr>
      <w:r>
        <w:rPr>
          <w:rFonts w:ascii="Times New Roman"/>
          <w:b w:val="false"/>
          <w:i w:val="false"/>
          <w:color w:val="000000"/>
          <w:sz w:val="28"/>
        </w:rPr>
        <w:t>
      медицинские изделия для определения AB0-совместимости до переливания, предназначенные для использования по месту нахождения реципиента в качестве дополнительной меры предосторожности против ошибок, связанных несовместимостью по AB0;</w:t>
      </w:r>
    </w:p>
    <w:bookmarkEnd w:id="51"/>
    <w:bookmarkStart w:name="z59" w:id="52"/>
    <w:p>
      <w:pPr>
        <w:spacing w:after="0"/>
        <w:ind w:left="0"/>
        <w:jc w:val="both"/>
      </w:pPr>
      <w:r>
        <w:rPr>
          <w:rFonts w:ascii="Times New Roman"/>
          <w:b w:val="false"/>
          <w:i w:val="false"/>
          <w:color w:val="000000"/>
          <w:sz w:val="28"/>
        </w:rPr>
        <w:t xml:space="preserve">
      медицинские изделия, представляющие собой реагенты для непрямой пробы Кумбса, используемые для скрининга и идентификации нерегулярных антител, наборов реагентов на совместимость и аутоконтролей, в соответствии с маркерами, указанными в </w:t>
      </w:r>
      <w:r>
        <w:rPr>
          <w:rFonts w:ascii="Times New Roman"/>
          <w:b w:val="false"/>
          <w:i w:val="false"/>
          <w:color w:val="000000"/>
          <w:sz w:val="28"/>
        </w:rPr>
        <w:t>пункте 36</w:t>
      </w:r>
      <w:r>
        <w:rPr>
          <w:rFonts w:ascii="Times New Roman"/>
          <w:b w:val="false"/>
          <w:i w:val="false"/>
          <w:color w:val="000000"/>
          <w:sz w:val="28"/>
        </w:rPr>
        <w:t xml:space="preserve"> Правил классификации (в ином случае изделию следует присвоить класс 2б);</w:t>
      </w:r>
    </w:p>
    <w:bookmarkEnd w:id="52"/>
    <w:bookmarkStart w:name="z60" w:id="53"/>
    <w:p>
      <w:pPr>
        <w:spacing w:after="0"/>
        <w:ind w:left="0"/>
        <w:jc w:val="both"/>
      </w:pPr>
      <w:r>
        <w:rPr>
          <w:rFonts w:ascii="Times New Roman"/>
          <w:b w:val="false"/>
          <w:i w:val="false"/>
          <w:color w:val="000000"/>
          <w:sz w:val="28"/>
        </w:rPr>
        <w:t>
      медицинские изделия для типирования плода RhD.</w:t>
      </w:r>
    </w:p>
    <w:bookmarkEnd w:id="53"/>
    <w:bookmarkStart w:name="z61" w:id="54"/>
    <w:p>
      <w:pPr>
        <w:spacing w:after="0"/>
        <w:ind w:left="0"/>
        <w:jc w:val="both"/>
      </w:pPr>
      <w:r>
        <w:rPr>
          <w:rFonts w:ascii="Times New Roman"/>
          <w:b w:val="false"/>
          <w:i w:val="false"/>
          <w:color w:val="000000"/>
          <w:sz w:val="28"/>
        </w:rPr>
        <w:t xml:space="preserve">
      Медицинские изделия для идентификации маркеров эритроцитов, отличных от перечисленных в </w:t>
      </w:r>
      <w:r>
        <w:rPr>
          <w:rFonts w:ascii="Times New Roman"/>
          <w:b w:val="false"/>
          <w:i w:val="false"/>
          <w:color w:val="000000"/>
          <w:sz w:val="28"/>
        </w:rPr>
        <w:t>пункте 36</w:t>
      </w:r>
      <w:r>
        <w:rPr>
          <w:rFonts w:ascii="Times New Roman"/>
          <w:b w:val="false"/>
          <w:i w:val="false"/>
          <w:color w:val="000000"/>
          <w:sz w:val="28"/>
        </w:rPr>
        <w:t xml:space="preserve"> Правил классификации, предназначенные для скрининга, диагностики, подтверждения или для типирования тканей, или для обеспечения иммунологической совместимости крови, компонентов крови, клеток, тканей или органов, предназначенных для переливания, трансплантации или введения клеток, следует относить к медицинским изделиям класса 2б.</w:t>
      </w:r>
    </w:p>
    <w:bookmarkEnd w:id="54"/>
    <w:bookmarkStart w:name="z62" w:id="55"/>
    <w:p>
      <w:pPr>
        <w:spacing w:after="0"/>
        <w:ind w:left="0"/>
        <w:jc w:val="both"/>
      </w:pPr>
      <w:r>
        <w:rPr>
          <w:rFonts w:ascii="Times New Roman"/>
          <w:b w:val="false"/>
          <w:i w:val="false"/>
          <w:color w:val="000000"/>
          <w:sz w:val="28"/>
        </w:rPr>
        <w:t xml:space="preserve">
      Все медицинские изделия для тканевого типирования HLA следует классифицировать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Правил классификации как медицинские изделия класса 2б, если они предназначены для определения групп крови или тканевого типирования, для обеспечения иммунологической совместимости крови, компонентов крови, клеток, тканей или органов, предназначенных для переливания или трансплантации, или введения клеток.</w:t>
      </w:r>
    </w:p>
    <w:bookmarkEnd w:id="55"/>
    <w:bookmarkStart w:name="z63" w:id="56"/>
    <w:p>
      <w:pPr>
        <w:spacing w:after="0"/>
        <w:ind w:left="0"/>
        <w:jc w:val="both"/>
      </w:pPr>
      <w:r>
        <w:rPr>
          <w:rFonts w:ascii="Times New Roman"/>
          <w:b w:val="false"/>
          <w:i w:val="false"/>
          <w:color w:val="000000"/>
          <w:sz w:val="28"/>
        </w:rPr>
        <w:t>
      Примерами медицинских изделий, классифицируемых в соответствии с пунктом 36 Правил классификации и относящихся к классу риска 2б, могут являться:</w:t>
      </w:r>
    </w:p>
    <w:bookmarkEnd w:id="56"/>
    <w:bookmarkStart w:name="z64" w:id="57"/>
    <w:p>
      <w:pPr>
        <w:spacing w:after="0"/>
        <w:ind w:left="0"/>
        <w:jc w:val="both"/>
      </w:pPr>
      <w:r>
        <w:rPr>
          <w:rFonts w:ascii="Times New Roman"/>
          <w:b w:val="false"/>
          <w:i w:val="false"/>
          <w:color w:val="000000"/>
          <w:sz w:val="28"/>
        </w:rPr>
        <w:t>
      медицинское изделие, предназначенное для типирования генов системы HLA: HLA-A, -B, -C, -DRB1, -DQB1 и DPB1 методом полимеразной цепной реакции или секвенирования по Сэнгеру для целей трансплантации;</w:t>
      </w:r>
    </w:p>
    <w:bookmarkEnd w:id="57"/>
    <w:bookmarkStart w:name="z65" w:id="58"/>
    <w:p>
      <w:pPr>
        <w:spacing w:after="0"/>
        <w:ind w:left="0"/>
        <w:jc w:val="both"/>
      </w:pPr>
      <w:r>
        <w:rPr>
          <w:rFonts w:ascii="Times New Roman"/>
          <w:b w:val="false"/>
          <w:i w:val="false"/>
          <w:color w:val="000000"/>
          <w:sz w:val="28"/>
        </w:rPr>
        <w:t>
      медицинские изделия для определения группы крови Anti-Lea Monoclonal для переливания крови.</w:t>
      </w:r>
    </w:p>
    <w:bookmarkEnd w:id="58"/>
    <w:bookmarkStart w:name="z66"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37</w:t>
      </w:r>
      <w:r>
        <w:rPr>
          <w:rFonts w:ascii="Times New Roman"/>
          <w:b w:val="false"/>
          <w:i w:val="false"/>
          <w:color w:val="000000"/>
          <w:sz w:val="28"/>
        </w:rPr>
        <w:t xml:space="preserve"> Правил классификации охватывает широкий ряд медицинских изделий, описанных в подпунктах "а" – "м" указанного пункта. При этом медицинское изделие может относиться сразу к нескольким подпунктам пункта 37 Правил классификации. </w:t>
      </w:r>
    </w:p>
    <w:bookmarkEnd w:id="59"/>
    <w:bookmarkStart w:name="z67" w:id="60"/>
    <w:p>
      <w:pPr>
        <w:spacing w:after="0"/>
        <w:ind w:left="0"/>
        <w:jc w:val="both"/>
      </w:pPr>
      <w:r>
        <w:rPr>
          <w:rFonts w:ascii="Times New Roman"/>
          <w:b w:val="false"/>
          <w:i w:val="false"/>
          <w:color w:val="000000"/>
          <w:sz w:val="28"/>
        </w:rPr>
        <w:t>
      9. В соответствии с подпунктом "а" пункта 37 Правил классификации медицинские изделия, предназначенные для выявления инфекционных агентов заболеваний, передающихся половым путем, относятся к классу 2б.</w:t>
      </w:r>
    </w:p>
    <w:bookmarkEnd w:id="60"/>
    <w:bookmarkStart w:name="z68" w:id="61"/>
    <w:p>
      <w:pPr>
        <w:spacing w:after="0"/>
        <w:ind w:left="0"/>
        <w:jc w:val="both"/>
      </w:pPr>
      <w:r>
        <w:rPr>
          <w:rFonts w:ascii="Times New Roman"/>
          <w:b w:val="false"/>
          <w:i w:val="false"/>
          <w:color w:val="000000"/>
          <w:sz w:val="28"/>
        </w:rPr>
        <w:t>
      Подпункт "а" пункта 37 Правил классификации следует применять в отношении медицинских изделий, обнаруживающих возбудителей, основной путь передачи которых – половой. Инфекции, передающиеся половым путем, представляют собой группу инфекций, которые могут передаваться при вагинальных, оральных и анальных половых контактах. Агенты, вызывающие инфекции, передающиеся половым путем, могут передаваться от человека к человеку через кровь, сперму, вагинальные или другие биологические жидкости.</w:t>
      </w:r>
    </w:p>
    <w:bookmarkEnd w:id="61"/>
    <w:bookmarkStart w:name="z69" w:id="62"/>
    <w:p>
      <w:pPr>
        <w:spacing w:after="0"/>
        <w:ind w:left="0"/>
        <w:jc w:val="both"/>
      </w:pPr>
      <w:r>
        <w:rPr>
          <w:rFonts w:ascii="Times New Roman"/>
          <w:b w:val="false"/>
          <w:i w:val="false"/>
          <w:color w:val="000000"/>
          <w:sz w:val="28"/>
        </w:rPr>
        <w:t>
      Примерами медицинских изделий, предусмотренных подпунктом "а" пункта 37 Правил классификации, могут являться медицинские изделия, предназначенные для выявления:</w:t>
      </w:r>
    </w:p>
    <w:bookmarkEnd w:id="62"/>
    <w:bookmarkStart w:name="z70" w:id="63"/>
    <w:p>
      <w:pPr>
        <w:spacing w:after="0"/>
        <w:ind w:left="0"/>
        <w:jc w:val="both"/>
      </w:pPr>
      <w:r>
        <w:rPr>
          <w:rFonts w:ascii="Times New Roman"/>
          <w:b w:val="false"/>
          <w:i w:val="false"/>
          <w:color w:val="000000"/>
          <w:sz w:val="28"/>
        </w:rPr>
        <w:t xml:space="preserve">
      </w:t>
      </w:r>
      <w:r>
        <w:rPr>
          <w:rFonts w:ascii="Times New Roman"/>
          <w:b w:val="false"/>
          <w:i/>
          <w:color w:val="000000"/>
          <w:sz w:val="28"/>
        </w:rPr>
        <w:t>Chlamydia</w:t>
      </w:r>
      <w:r>
        <w:rPr>
          <w:rFonts w:ascii="Times New Roman"/>
          <w:b w:val="false"/>
          <w:i w:val="false"/>
          <w:color w:val="000000"/>
          <w:sz w:val="28"/>
        </w:rPr>
        <w:t xml:space="preserve"> </w:t>
      </w:r>
      <w:r>
        <w:rPr>
          <w:rFonts w:ascii="Times New Roman"/>
          <w:b w:val="false"/>
          <w:i/>
          <w:color w:val="000000"/>
          <w:sz w:val="28"/>
        </w:rPr>
        <w:t>trachomatis;</w:t>
      </w:r>
    </w:p>
    <w:bookmarkEnd w:id="63"/>
    <w:bookmarkStart w:name="z71" w:id="64"/>
    <w:p>
      <w:pPr>
        <w:spacing w:after="0"/>
        <w:ind w:left="0"/>
        <w:jc w:val="both"/>
      </w:pPr>
      <w:r>
        <w:rPr>
          <w:rFonts w:ascii="Times New Roman"/>
          <w:b w:val="false"/>
          <w:i w:val="false"/>
          <w:color w:val="000000"/>
          <w:sz w:val="28"/>
        </w:rPr>
        <w:t xml:space="preserve">
      </w:t>
      </w:r>
      <w:r>
        <w:rPr>
          <w:rFonts w:ascii="Times New Roman"/>
          <w:b w:val="false"/>
          <w:i/>
          <w:color w:val="000000"/>
          <w:sz w:val="28"/>
        </w:rPr>
        <w:t>Haemophilus</w:t>
      </w:r>
      <w:r>
        <w:rPr>
          <w:rFonts w:ascii="Times New Roman"/>
          <w:b w:val="false"/>
          <w:i w:val="false"/>
          <w:color w:val="000000"/>
          <w:sz w:val="28"/>
        </w:rPr>
        <w:t xml:space="preserve"> </w:t>
      </w:r>
      <w:r>
        <w:rPr>
          <w:rFonts w:ascii="Times New Roman"/>
          <w:b w:val="false"/>
          <w:i/>
          <w:color w:val="000000"/>
          <w:sz w:val="28"/>
        </w:rPr>
        <w:t>ducreyi;</w:t>
      </w:r>
    </w:p>
    <w:bookmarkEnd w:id="64"/>
    <w:bookmarkStart w:name="z72" w:id="65"/>
    <w:p>
      <w:pPr>
        <w:spacing w:after="0"/>
        <w:ind w:left="0"/>
        <w:jc w:val="both"/>
      </w:pPr>
      <w:r>
        <w:rPr>
          <w:rFonts w:ascii="Times New Roman"/>
          <w:b w:val="false"/>
          <w:i w:val="false"/>
          <w:color w:val="000000"/>
          <w:sz w:val="28"/>
        </w:rPr>
        <w:t>
      вируса простого герпеса 1 и 2 типов;</w:t>
      </w:r>
    </w:p>
    <w:bookmarkEnd w:id="65"/>
    <w:bookmarkStart w:name="z73" w:id="66"/>
    <w:p>
      <w:pPr>
        <w:spacing w:after="0"/>
        <w:ind w:left="0"/>
        <w:jc w:val="both"/>
      </w:pPr>
      <w:r>
        <w:rPr>
          <w:rFonts w:ascii="Times New Roman"/>
          <w:b w:val="false"/>
          <w:i w:val="false"/>
          <w:color w:val="000000"/>
          <w:sz w:val="28"/>
        </w:rPr>
        <w:t>
      вируса папилломы человека (HPV);</w:t>
      </w:r>
    </w:p>
    <w:bookmarkEnd w:id="66"/>
    <w:bookmarkStart w:name="z74" w:id="67"/>
    <w:p>
      <w:pPr>
        <w:spacing w:after="0"/>
        <w:ind w:left="0"/>
        <w:jc w:val="both"/>
      </w:pPr>
      <w:r>
        <w:rPr>
          <w:rFonts w:ascii="Times New Roman"/>
          <w:b w:val="false"/>
          <w:i w:val="false"/>
          <w:color w:val="000000"/>
          <w:sz w:val="28"/>
        </w:rPr>
        <w:t xml:space="preserve">
      </w:t>
      </w:r>
      <w:r>
        <w:rPr>
          <w:rFonts w:ascii="Times New Roman"/>
          <w:b w:val="false"/>
          <w:i/>
          <w:color w:val="000000"/>
          <w:sz w:val="28"/>
        </w:rPr>
        <w:t>Neisseria</w:t>
      </w:r>
      <w:r>
        <w:rPr>
          <w:rFonts w:ascii="Times New Roman"/>
          <w:b w:val="false"/>
          <w:i w:val="false"/>
          <w:color w:val="000000"/>
          <w:sz w:val="28"/>
        </w:rPr>
        <w:t xml:space="preserve"> </w:t>
      </w:r>
      <w:r>
        <w:rPr>
          <w:rFonts w:ascii="Times New Roman"/>
          <w:b w:val="false"/>
          <w:i/>
          <w:color w:val="000000"/>
          <w:sz w:val="28"/>
        </w:rPr>
        <w:t>gonorrhoeae;</w:t>
      </w:r>
    </w:p>
    <w:bookmarkEnd w:id="67"/>
    <w:bookmarkStart w:name="z75" w:id="68"/>
    <w:p>
      <w:pPr>
        <w:spacing w:after="0"/>
        <w:ind w:left="0"/>
        <w:jc w:val="both"/>
      </w:pPr>
      <w:r>
        <w:rPr>
          <w:rFonts w:ascii="Times New Roman"/>
          <w:b w:val="false"/>
          <w:i w:val="false"/>
          <w:color w:val="000000"/>
          <w:sz w:val="28"/>
        </w:rPr>
        <w:t xml:space="preserve">
      </w:t>
      </w:r>
      <w:r>
        <w:rPr>
          <w:rFonts w:ascii="Times New Roman"/>
          <w:b w:val="false"/>
          <w:i/>
          <w:color w:val="000000"/>
          <w:sz w:val="28"/>
        </w:rPr>
        <w:t>Mycoplasma</w:t>
      </w:r>
      <w:r>
        <w:rPr>
          <w:rFonts w:ascii="Times New Roman"/>
          <w:b w:val="false"/>
          <w:i w:val="false"/>
          <w:color w:val="000000"/>
          <w:sz w:val="28"/>
        </w:rPr>
        <w:t xml:space="preserve"> </w:t>
      </w:r>
      <w:r>
        <w:rPr>
          <w:rFonts w:ascii="Times New Roman"/>
          <w:b w:val="false"/>
          <w:i/>
          <w:color w:val="000000"/>
          <w:sz w:val="28"/>
        </w:rPr>
        <w:t>hominis;</w:t>
      </w:r>
    </w:p>
    <w:bookmarkEnd w:id="68"/>
    <w:bookmarkStart w:name="z76" w:id="69"/>
    <w:p>
      <w:pPr>
        <w:spacing w:after="0"/>
        <w:ind w:left="0"/>
        <w:jc w:val="both"/>
      </w:pPr>
      <w:r>
        <w:rPr>
          <w:rFonts w:ascii="Times New Roman"/>
          <w:b w:val="false"/>
          <w:i w:val="false"/>
          <w:color w:val="000000"/>
          <w:sz w:val="28"/>
        </w:rPr>
        <w:t xml:space="preserve">
      </w:t>
      </w:r>
      <w:r>
        <w:rPr>
          <w:rFonts w:ascii="Times New Roman"/>
          <w:b w:val="false"/>
          <w:i/>
          <w:color w:val="000000"/>
          <w:sz w:val="28"/>
        </w:rPr>
        <w:t>Mycoplasma</w:t>
      </w:r>
      <w:r>
        <w:rPr>
          <w:rFonts w:ascii="Times New Roman"/>
          <w:b w:val="false"/>
          <w:i w:val="false"/>
          <w:color w:val="000000"/>
          <w:sz w:val="28"/>
        </w:rPr>
        <w:t xml:space="preserve"> </w:t>
      </w:r>
      <w:r>
        <w:rPr>
          <w:rFonts w:ascii="Times New Roman"/>
          <w:b w:val="false"/>
          <w:i/>
          <w:color w:val="000000"/>
          <w:sz w:val="28"/>
        </w:rPr>
        <w:t>genitalium;</w:t>
      </w:r>
    </w:p>
    <w:bookmarkEnd w:id="69"/>
    <w:bookmarkStart w:name="z77" w:id="70"/>
    <w:p>
      <w:pPr>
        <w:spacing w:after="0"/>
        <w:ind w:left="0"/>
        <w:jc w:val="both"/>
      </w:pPr>
      <w:r>
        <w:rPr>
          <w:rFonts w:ascii="Times New Roman"/>
          <w:b w:val="false"/>
          <w:i w:val="false"/>
          <w:color w:val="000000"/>
          <w:sz w:val="28"/>
        </w:rPr>
        <w:t xml:space="preserve">
      </w:t>
      </w:r>
      <w:r>
        <w:rPr>
          <w:rFonts w:ascii="Times New Roman"/>
          <w:b w:val="false"/>
          <w:i/>
          <w:color w:val="000000"/>
          <w:sz w:val="28"/>
        </w:rPr>
        <w:t>Trichomonas</w:t>
      </w:r>
      <w:r>
        <w:rPr>
          <w:rFonts w:ascii="Times New Roman"/>
          <w:b w:val="false"/>
          <w:i w:val="false"/>
          <w:color w:val="000000"/>
          <w:sz w:val="28"/>
        </w:rPr>
        <w:t xml:space="preserve"> </w:t>
      </w:r>
      <w:r>
        <w:rPr>
          <w:rFonts w:ascii="Times New Roman"/>
          <w:b w:val="false"/>
          <w:i/>
          <w:color w:val="000000"/>
          <w:sz w:val="28"/>
        </w:rPr>
        <w:t>vaginalis;</w:t>
      </w:r>
    </w:p>
    <w:bookmarkEnd w:id="70"/>
    <w:bookmarkStart w:name="z78" w:id="71"/>
    <w:p>
      <w:pPr>
        <w:spacing w:after="0"/>
        <w:ind w:left="0"/>
        <w:jc w:val="both"/>
      </w:pPr>
      <w:r>
        <w:rPr>
          <w:rFonts w:ascii="Times New Roman"/>
          <w:b w:val="false"/>
          <w:i w:val="false"/>
          <w:color w:val="000000"/>
          <w:sz w:val="28"/>
        </w:rPr>
        <w:t xml:space="preserve">
      </w:t>
      </w:r>
      <w:r>
        <w:rPr>
          <w:rFonts w:ascii="Times New Roman"/>
          <w:b w:val="false"/>
          <w:i/>
          <w:color w:val="000000"/>
          <w:sz w:val="28"/>
        </w:rPr>
        <w:t>Treponema</w:t>
      </w:r>
      <w:r>
        <w:rPr>
          <w:rFonts w:ascii="Times New Roman"/>
          <w:b w:val="false"/>
          <w:i w:val="false"/>
          <w:color w:val="000000"/>
          <w:sz w:val="28"/>
        </w:rPr>
        <w:t xml:space="preserve"> </w:t>
      </w:r>
      <w:r>
        <w:rPr>
          <w:rFonts w:ascii="Times New Roman"/>
          <w:b w:val="false"/>
          <w:i/>
          <w:color w:val="000000"/>
          <w:sz w:val="28"/>
        </w:rPr>
        <w:t>pallidum</w:t>
      </w:r>
      <w:r>
        <w:rPr>
          <w:rFonts w:ascii="Times New Roman"/>
          <w:b w:val="false"/>
          <w:i/>
          <w:color w:val="000000"/>
          <w:sz w:val="28"/>
        </w:rPr>
        <w:t>;</w:t>
      </w:r>
    </w:p>
    <w:bookmarkEnd w:id="71"/>
    <w:bookmarkStart w:name="z79" w:id="72"/>
    <w:p>
      <w:pPr>
        <w:spacing w:after="0"/>
        <w:ind w:left="0"/>
        <w:jc w:val="both"/>
      </w:pPr>
      <w:r>
        <w:rPr>
          <w:rFonts w:ascii="Times New Roman"/>
          <w:b w:val="false"/>
          <w:i w:val="false"/>
          <w:color w:val="000000"/>
          <w:sz w:val="28"/>
        </w:rPr>
        <w:t xml:space="preserve">
      </w:t>
      </w:r>
      <w:r>
        <w:rPr>
          <w:rFonts w:ascii="Times New Roman"/>
          <w:b w:val="false"/>
          <w:i/>
          <w:color w:val="000000"/>
          <w:sz w:val="28"/>
        </w:rPr>
        <w:t>Ureaplasma</w:t>
      </w:r>
      <w:r>
        <w:rPr>
          <w:rFonts w:ascii="Times New Roman"/>
          <w:b w:val="false"/>
          <w:i w:val="false"/>
          <w:color w:val="000000"/>
          <w:sz w:val="28"/>
        </w:rPr>
        <w:t xml:space="preserve"> </w:t>
      </w:r>
      <w:r>
        <w:rPr>
          <w:rFonts w:ascii="Times New Roman"/>
          <w:b w:val="false"/>
          <w:i/>
          <w:color w:val="000000"/>
          <w:sz w:val="28"/>
        </w:rPr>
        <w:t>urealyticum</w:t>
      </w:r>
      <w:r>
        <w:rPr>
          <w:rFonts w:ascii="Times New Roman"/>
          <w:b w:val="false"/>
          <w:i w:val="false"/>
          <w:color w:val="000000"/>
          <w:sz w:val="28"/>
        </w:rPr>
        <w:t>.</w:t>
      </w:r>
    </w:p>
    <w:bookmarkEnd w:id="72"/>
    <w:bookmarkStart w:name="z80" w:id="73"/>
    <w:p>
      <w:pPr>
        <w:spacing w:after="0"/>
        <w:ind w:left="0"/>
        <w:jc w:val="both"/>
      </w:pPr>
      <w:r>
        <w:rPr>
          <w:rFonts w:ascii="Times New Roman"/>
          <w:b w:val="false"/>
          <w:i w:val="false"/>
          <w:color w:val="000000"/>
          <w:sz w:val="28"/>
        </w:rPr>
        <w:t xml:space="preserve">
      Медицинские изделия для выявления инфекционных агентов заболеваний, которые могут передаваться как половым, так и не половым путем, рекомендуется классифицировать с учетом основного пути заражения. Например, основной способ передачи амебиаза и лямблиоза не является половым (через контакт с зараженной пищей, водой или фекалиями), при этом эти два паразита могут передаваться также и при орально-анальном половом контакте. Медицинские изделия, предназначенные для определения кишечных инфекций, вызванных </w:t>
      </w:r>
      <w:r>
        <w:rPr>
          <w:rFonts w:ascii="Times New Roman"/>
          <w:b w:val="false"/>
          <w:i/>
          <w:color w:val="000000"/>
          <w:sz w:val="28"/>
        </w:rPr>
        <w:t>Entamoeba</w:t>
      </w:r>
      <w:r>
        <w:rPr>
          <w:rFonts w:ascii="Times New Roman"/>
          <w:b w:val="false"/>
          <w:i w:val="false"/>
          <w:color w:val="000000"/>
          <w:sz w:val="28"/>
        </w:rPr>
        <w:t xml:space="preserve"> </w:t>
      </w:r>
      <w:r>
        <w:rPr>
          <w:rFonts w:ascii="Times New Roman"/>
          <w:b w:val="false"/>
          <w:i/>
          <w:color w:val="000000"/>
          <w:sz w:val="28"/>
        </w:rPr>
        <w:t>histolytica</w:t>
      </w:r>
      <w:r>
        <w:rPr>
          <w:rFonts w:ascii="Times New Roman"/>
          <w:b w:val="false"/>
          <w:i w:val="false"/>
          <w:color w:val="000000"/>
          <w:sz w:val="28"/>
        </w:rPr>
        <w:t xml:space="preserve"> и </w:t>
      </w:r>
      <w:r>
        <w:rPr>
          <w:rFonts w:ascii="Times New Roman"/>
          <w:b w:val="false"/>
          <w:i/>
          <w:color w:val="000000"/>
          <w:sz w:val="28"/>
        </w:rPr>
        <w:t>Giardia</w:t>
      </w:r>
      <w:r>
        <w:rPr>
          <w:rFonts w:ascii="Times New Roman"/>
          <w:b w:val="false"/>
          <w:i w:val="false"/>
          <w:color w:val="000000"/>
          <w:sz w:val="28"/>
        </w:rPr>
        <w:t xml:space="preserve"> </w:t>
      </w:r>
      <w:r>
        <w:rPr>
          <w:rFonts w:ascii="Times New Roman"/>
          <w:b w:val="false"/>
          <w:i/>
          <w:color w:val="000000"/>
          <w:sz w:val="28"/>
        </w:rPr>
        <w:t>lamblia</w:t>
      </w:r>
      <w:r>
        <w:rPr>
          <w:rFonts w:ascii="Times New Roman"/>
          <w:b w:val="false"/>
          <w:i w:val="false"/>
          <w:color w:val="000000"/>
          <w:sz w:val="28"/>
        </w:rPr>
        <w:t xml:space="preserve">, следует классифицировать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Правил классификации.</w:t>
      </w:r>
    </w:p>
    <w:bookmarkEnd w:id="73"/>
    <w:bookmarkStart w:name="z81" w:id="74"/>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подпунктом "б"</w:t>
      </w:r>
      <w:r>
        <w:rPr>
          <w:rFonts w:ascii="Times New Roman"/>
          <w:b w:val="false"/>
          <w:i w:val="false"/>
          <w:color w:val="000000"/>
          <w:sz w:val="28"/>
        </w:rPr>
        <w:t xml:space="preserve"> пункта 37 Правил классификации медицинские изделия, предназначенные для выявления в цереброспинальной жидкости или крови инфекционных агентов с умеренным риском распространения, относятся к классу 2б.</w:t>
      </w:r>
    </w:p>
    <w:bookmarkEnd w:id="74"/>
    <w:bookmarkStart w:name="z82" w:id="75"/>
    <w:p>
      <w:pPr>
        <w:spacing w:after="0"/>
        <w:ind w:left="0"/>
        <w:jc w:val="both"/>
      </w:pPr>
      <w:r>
        <w:rPr>
          <w:rFonts w:ascii="Times New Roman"/>
          <w:b w:val="false"/>
          <w:i w:val="false"/>
          <w:color w:val="000000"/>
          <w:sz w:val="28"/>
        </w:rPr>
        <w:t>
      Подпункт "б" пункта 37 Правил классификации следует применять в отношении медицинских изделий, предназначенных для обнаружения присутствия инфекционного агента (либо самого агента, либо его компонента), в том числе бактериального, вирусного, грибкового, паразитарного, протозойного и иных инфекционных (вне зависимости от пути передачи или источника инфекционного агента), в образцах, полученных из цереброспинальной жидкости или крови.</w:t>
      </w:r>
    </w:p>
    <w:bookmarkEnd w:id="75"/>
    <w:bookmarkStart w:name="z83" w:id="7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"б"</w:t>
      </w:r>
      <w:r>
        <w:rPr>
          <w:rFonts w:ascii="Times New Roman"/>
          <w:b w:val="false"/>
          <w:i w:val="false"/>
          <w:color w:val="000000"/>
          <w:sz w:val="28"/>
        </w:rPr>
        <w:t xml:space="preserve"> пункта 37 Правил классификации следует также применять к медицинским изделиям, представляющим собой микробиологические среды, предназначенные для выявления соответствующих инфекционных агентов в цереброспинальной жидкости или крови.</w:t>
      </w:r>
    </w:p>
    <w:bookmarkEnd w:id="76"/>
    <w:bookmarkStart w:name="z84" w:id="77"/>
    <w:p>
      <w:pPr>
        <w:spacing w:after="0"/>
        <w:ind w:left="0"/>
        <w:jc w:val="both"/>
      </w:pPr>
      <w:r>
        <w:rPr>
          <w:rFonts w:ascii="Times New Roman"/>
          <w:b w:val="false"/>
          <w:i w:val="false"/>
          <w:color w:val="000000"/>
          <w:sz w:val="28"/>
        </w:rPr>
        <w:t>
      Подпункт "б" пункта 37 Правил классификации не распространяется на медицинские изделия, предназначенные для обнаружения антител к инфекционному агенту.</w:t>
      </w:r>
    </w:p>
    <w:bookmarkEnd w:id="77"/>
    <w:bookmarkStart w:name="z85" w:id="78"/>
    <w:p>
      <w:pPr>
        <w:spacing w:after="0"/>
        <w:ind w:left="0"/>
        <w:jc w:val="both"/>
      </w:pPr>
      <w:r>
        <w:rPr>
          <w:rFonts w:ascii="Times New Roman"/>
          <w:b w:val="false"/>
          <w:i w:val="false"/>
          <w:color w:val="000000"/>
          <w:sz w:val="28"/>
        </w:rPr>
        <w:t>
      Примерами медицинских изделий, относящихся к подпункту "б" пункта 37 Правил классификации, могут являться медицинские изделия, предназначенные для выявления:</w:t>
      </w:r>
    </w:p>
    <w:bookmarkEnd w:id="78"/>
    <w:bookmarkStart w:name="z86" w:id="79"/>
    <w:p>
      <w:pPr>
        <w:spacing w:after="0"/>
        <w:ind w:left="0"/>
        <w:jc w:val="both"/>
      </w:pPr>
      <w:r>
        <w:rPr>
          <w:rFonts w:ascii="Times New Roman"/>
          <w:b w:val="false"/>
          <w:i w:val="false"/>
          <w:color w:val="000000"/>
          <w:sz w:val="28"/>
        </w:rPr>
        <w:t xml:space="preserve">
      бактериальных возбудителей: </w:t>
      </w:r>
      <w:r>
        <w:rPr>
          <w:rFonts w:ascii="Times New Roman"/>
          <w:b w:val="false"/>
          <w:i/>
          <w:color w:val="000000"/>
          <w:sz w:val="28"/>
        </w:rPr>
        <w:t>Streptococcus</w:t>
      </w:r>
      <w:r>
        <w:rPr>
          <w:rFonts w:ascii="Times New Roman"/>
          <w:b w:val="false"/>
          <w:i w:val="false"/>
          <w:color w:val="000000"/>
          <w:sz w:val="28"/>
        </w:rPr>
        <w:t xml:space="preserve"> </w:t>
      </w:r>
      <w:r>
        <w:rPr>
          <w:rFonts w:ascii="Times New Roman"/>
          <w:b w:val="false"/>
          <w:i/>
          <w:color w:val="000000"/>
          <w:sz w:val="28"/>
        </w:rPr>
        <w:t>pneumoniae,</w:t>
      </w:r>
      <w:r>
        <w:rPr>
          <w:rFonts w:ascii="Times New Roman"/>
          <w:b w:val="false"/>
          <w:i w:val="false"/>
          <w:color w:val="000000"/>
          <w:sz w:val="28"/>
        </w:rPr>
        <w:t xml:space="preserve"> </w:t>
      </w:r>
      <w:r>
        <w:rPr>
          <w:rFonts w:ascii="Times New Roman"/>
          <w:b w:val="false"/>
          <w:i/>
          <w:color w:val="000000"/>
          <w:sz w:val="28"/>
        </w:rPr>
        <w:t>Streptococcus</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Neisseria</w:t>
      </w:r>
      <w:r>
        <w:rPr>
          <w:rFonts w:ascii="Times New Roman"/>
          <w:b w:val="false"/>
          <w:i w:val="false"/>
          <w:color w:val="000000"/>
          <w:sz w:val="28"/>
        </w:rPr>
        <w:t xml:space="preserve"> </w:t>
      </w:r>
      <w:r>
        <w:rPr>
          <w:rFonts w:ascii="Times New Roman"/>
          <w:b w:val="false"/>
          <w:i/>
          <w:color w:val="000000"/>
          <w:sz w:val="28"/>
        </w:rPr>
        <w:t>meningitidis,</w:t>
      </w:r>
      <w:r>
        <w:rPr>
          <w:rFonts w:ascii="Times New Roman"/>
          <w:b w:val="false"/>
          <w:i w:val="false"/>
          <w:color w:val="000000"/>
          <w:sz w:val="28"/>
        </w:rPr>
        <w:t xml:space="preserve"> </w:t>
      </w:r>
      <w:r>
        <w:rPr>
          <w:rFonts w:ascii="Times New Roman"/>
          <w:b w:val="false"/>
          <w:i/>
          <w:color w:val="000000"/>
          <w:sz w:val="28"/>
        </w:rPr>
        <w:t>Haemophilus</w:t>
      </w:r>
      <w:r>
        <w:rPr>
          <w:rFonts w:ascii="Times New Roman"/>
          <w:b w:val="false"/>
          <w:i w:val="false"/>
          <w:color w:val="000000"/>
          <w:sz w:val="28"/>
        </w:rPr>
        <w:t xml:space="preserve"> </w:t>
      </w:r>
      <w:r>
        <w:rPr>
          <w:rFonts w:ascii="Times New Roman"/>
          <w:b w:val="false"/>
          <w:i/>
          <w:color w:val="000000"/>
          <w:sz w:val="28"/>
        </w:rPr>
        <w:t>influenza</w:t>
      </w:r>
      <w:r>
        <w:rPr>
          <w:rFonts w:ascii="Times New Roman"/>
          <w:b w:val="false"/>
          <w:i w:val="false"/>
          <w:color w:val="000000"/>
          <w:sz w:val="28"/>
        </w:rPr>
        <w:t xml:space="preserve"> </w:t>
      </w:r>
      <w:r>
        <w:rPr>
          <w:rFonts w:ascii="Times New Roman"/>
          <w:b w:val="false"/>
          <w:i/>
          <w:color w:val="000000"/>
          <w:sz w:val="28"/>
        </w:rPr>
        <w:t>типа</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Listeria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 xml:space="preserve"> </w:t>
      </w:r>
      <w:r>
        <w:rPr>
          <w:rFonts w:ascii="Times New Roman"/>
          <w:b w:val="false"/>
          <w:i/>
          <w:color w:val="000000"/>
          <w:sz w:val="28"/>
        </w:rPr>
        <w:t>Borrelia</w:t>
      </w:r>
      <w:r>
        <w:rPr>
          <w:rFonts w:ascii="Times New Roman"/>
          <w:b w:val="false"/>
          <w:i w:val="false"/>
          <w:color w:val="000000"/>
          <w:sz w:val="28"/>
        </w:rPr>
        <w:t xml:space="preserve"> </w:t>
      </w:r>
      <w:r>
        <w:rPr>
          <w:rFonts w:ascii="Times New Roman"/>
          <w:b w:val="false"/>
          <w:i/>
          <w:color w:val="000000"/>
          <w:sz w:val="28"/>
        </w:rPr>
        <w:t>burgdorferi,</w:t>
      </w:r>
      <w:r>
        <w:rPr>
          <w:rFonts w:ascii="Times New Roman"/>
          <w:b w:val="false"/>
          <w:i w:val="false"/>
          <w:color w:val="000000"/>
          <w:sz w:val="28"/>
        </w:rPr>
        <w:t xml:space="preserve"> </w:t>
      </w:r>
      <w:r>
        <w:rPr>
          <w:rFonts w:ascii="Times New Roman"/>
          <w:b w:val="false"/>
          <w:i/>
          <w:color w:val="000000"/>
          <w:sz w:val="28"/>
        </w:rPr>
        <w:t>Mycobacterium</w:t>
      </w:r>
      <w:r>
        <w:rPr>
          <w:rFonts w:ascii="Times New Roman"/>
          <w:b w:val="false"/>
          <w:i w:val="false"/>
          <w:color w:val="000000"/>
          <w:sz w:val="28"/>
        </w:rPr>
        <w:t xml:space="preserve"> </w:t>
      </w:r>
      <w:r>
        <w:rPr>
          <w:rFonts w:ascii="Times New Roman"/>
          <w:b w:val="false"/>
          <w:i/>
          <w:color w:val="000000"/>
          <w:sz w:val="28"/>
        </w:rPr>
        <w:t>tuberculosis</w:t>
      </w:r>
      <w:r>
        <w:rPr>
          <w:rFonts w:ascii="Times New Roman"/>
          <w:b w:val="false"/>
          <w:i w:val="false"/>
          <w:color w:val="000000"/>
          <w:sz w:val="28"/>
        </w:rPr>
        <w:t>;</w:t>
      </w:r>
    </w:p>
    <w:bookmarkEnd w:id="79"/>
    <w:bookmarkStart w:name="z87" w:id="80"/>
    <w:p>
      <w:pPr>
        <w:spacing w:after="0"/>
        <w:ind w:left="0"/>
        <w:jc w:val="both"/>
      </w:pPr>
      <w:r>
        <w:rPr>
          <w:rFonts w:ascii="Times New Roman"/>
          <w:b w:val="false"/>
          <w:i w:val="false"/>
          <w:color w:val="000000"/>
          <w:sz w:val="28"/>
        </w:rPr>
        <w:t xml:space="preserve">
      грибковых возбудителей: </w:t>
      </w:r>
      <w:r>
        <w:rPr>
          <w:rFonts w:ascii="Times New Roman"/>
          <w:b w:val="false"/>
          <w:i/>
          <w:color w:val="000000"/>
          <w:sz w:val="28"/>
        </w:rPr>
        <w:t>Cryptococcus</w:t>
      </w:r>
      <w:r>
        <w:rPr>
          <w:rFonts w:ascii="Times New Roman"/>
          <w:b w:val="false"/>
          <w:i w:val="false"/>
          <w:color w:val="000000"/>
          <w:sz w:val="28"/>
        </w:rPr>
        <w:t xml:space="preserve"> </w:t>
      </w:r>
      <w:r>
        <w:rPr>
          <w:rFonts w:ascii="Times New Roman"/>
          <w:b w:val="false"/>
          <w:i/>
          <w:color w:val="000000"/>
          <w:sz w:val="28"/>
        </w:rPr>
        <w:t>neoformans,</w:t>
      </w:r>
      <w:r>
        <w:rPr>
          <w:rFonts w:ascii="Times New Roman"/>
          <w:b w:val="false"/>
          <w:i w:val="false"/>
          <w:color w:val="000000"/>
          <w:sz w:val="28"/>
        </w:rPr>
        <w:t xml:space="preserve"> </w:t>
      </w:r>
      <w:r>
        <w:rPr>
          <w:rFonts w:ascii="Times New Roman"/>
          <w:b w:val="false"/>
          <w:i/>
          <w:color w:val="000000"/>
          <w:sz w:val="28"/>
        </w:rPr>
        <w:t>Aspergillus</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вирусных возбудителей: вируса простого герпеса 1 и 2 типов, вируса герпеса человека 6 типа, вируса ветряной оспы, энтеровируса, вирусов Западного Нила, Чикунгунья, Денге, Зика, гепатита А и гепатита Е;</w:t>
      </w:r>
    </w:p>
    <w:bookmarkEnd w:id="81"/>
    <w:bookmarkStart w:name="z89" w:id="82"/>
    <w:p>
      <w:pPr>
        <w:spacing w:after="0"/>
        <w:ind w:left="0"/>
        <w:jc w:val="both"/>
      </w:pPr>
      <w:r>
        <w:rPr>
          <w:rFonts w:ascii="Times New Roman"/>
          <w:b w:val="false"/>
          <w:i w:val="false"/>
          <w:color w:val="000000"/>
          <w:sz w:val="28"/>
        </w:rPr>
        <w:t xml:space="preserve">
      паразитических возбудителей: </w:t>
      </w:r>
      <w:r>
        <w:rPr>
          <w:rFonts w:ascii="Times New Roman"/>
          <w:b w:val="false"/>
          <w:i/>
          <w:color w:val="000000"/>
          <w:sz w:val="28"/>
        </w:rPr>
        <w:t>Toxoplasma</w:t>
      </w:r>
      <w:r>
        <w:rPr>
          <w:rFonts w:ascii="Times New Roman"/>
          <w:b w:val="false"/>
          <w:i w:val="false"/>
          <w:color w:val="000000"/>
          <w:sz w:val="28"/>
        </w:rPr>
        <w:t xml:space="preserve"> </w:t>
      </w:r>
      <w:r>
        <w:rPr>
          <w:rFonts w:ascii="Times New Roman"/>
          <w:b w:val="false"/>
          <w:i/>
          <w:color w:val="000000"/>
          <w:sz w:val="28"/>
        </w:rPr>
        <w:t>gondii</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прионных агентов: спорадической болезни Крейтцфельдта-Якоба, синдрома Герстмана-Штраусслера-Шейнкера, Куру, фатальной семейной бессонницы.</w:t>
      </w:r>
    </w:p>
    <w:bookmarkEnd w:id="83"/>
    <w:bookmarkStart w:name="z91" w:id="84"/>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подпунктом "в"</w:t>
      </w:r>
      <w:r>
        <w:rPr>
          <w:rFonts w:ascii="Times New Roman"/>
          <w:b w:val="false"/>
          <w:i w:val="false"/>
          <w:color w:val="000000"/>
          <w:sz w:val="28"/>
        </w:rPr>
        <w:t xml:space="preserve"> пункта 37 Правил классификации медицинские изделия, предназначенные для выявления инфекционных агентов при наличии риска того, что ошибочный результат исследования может стать причиной смерти или потери дееспособности обследуемого пациента, плода или эмбриона либо потомства пациента, относятся к классу 2б.</w:t>
      </w:r>
    </w:p>
    <w:bookmarkEnd w:id="84"/>
    <w:bookmarkStart w:name="z92" w:id="85"/>
    <w:p>
      <w:pPr>
        <w:spacing w:after="0"/>
        <w:ind w:left="0"/>
        <w:jc w:val="both"/>
      </w:pPr>
      <w:r>
        <w:rPr>
          <w:rFonts w:ascii="Times New Roman"/>
          <w:b w:val="false"/>
          <w:i w:val="false"/>
          <w:color w:val="000000"/>
          <w:sz w:val="28"/>
        </w:rPr>
        <w:t>
      Подпункт "в" пункта 37 Правил классификации следует применять в отношении медицинских изделий, предназначенных для обнаружения присутствия инфекционного агента (либо самого агента, либо его компонента), в том числе бактериального, вирусного, грибкового, паразитарного, протозойного и иных инфекционных, и не имеет каких-либо ограничений в части типов образцов, взятых у индивидуума, плода или эмбриона.</w:t>
      </w:r>
    </w:p>
    <w:bookmarkEnd w:id="85"/>
    <w:bookmarkStart w:name="z93" w:id="86"/>
    <w:p>
      <w:pPr>
        <w:spacing w:after="0"/>
        <w:ind w:left="0"/>
        <w:jc w:val="both"/>
      </w:pPr>
      <w:r>
        <w:rPr>
          <w:rFonts w:ascii="Times New Roman"/>
          <w:b w:val="false"/>
          <w:i w:val="false"/>
          <w:color w:val="000000"/>
          <w:sz w:val="28"/>
        </w:rPr>
        <w:t>
      Подпункт "в" пункта 37 Правил классификации не распространяется на медицинские изделия, предназначенные для обнаружения антител к инфекционному агенту.</w:t>
      </w:r>
    </w:p>
    <w:bookmarkEnd w:id="86"/>
    <w:bookmarkStart w:name="z94" w:id="87"/>
    <w:p>
      <w:pPr>
        <w:spacing w:after="0"/>
        <w:ind w:left="0"/>
        <w:jc w:val="both"/>
      </w:pPr>
      <w:r>
        <w:rPr>
          <w:rFonts w:ascii="Times New Roman"/>
          <w:b w:val="false"/>
          <w:i w:val="false"/>
          <w:color w:val="000000"/>
          <w:sz w:val="28"/>
        </w:rPr>
        <w:t>
      При применении подпункта "в" пункта 37 Правил классификации учитывается, что ошибочный результат у здорового человека не несет такого же риска, как ошибочный результат, например, у человека с ослабленным иммунитетом или у беременной женщины. Данная норма применяется как при выявлении инфекционных агентов у тестируемого эмбриона, плода (инфекционный агент может нанести ущерб жизнеспособности и развития эмбриона, плода и привести к смерти или инвалидности), так и в отношении потомства человека (как в настоящее время, так и в будущем, то есть вызывать нарушение развития).</w:t>
      </w:r>
    </w:p>
    <w:bookmarkEnd w:id="87"/>
    <w:bookmarkStart w:name="z95" w:id="88"/>
    <w:p>
      <w:pPr>
        <w:spacing w:after="0"/>
        <w:ind w:left="0"/>
        <w:jc w:val="both"/>
      </w:pPr>
      <w:r>
        <w:rPr>
          <w:rFonts w:ascii="Times New Roman"/>
          <w:b w:val="false"/>
          <w:i w:val="false"/>
          <w:color w:val="000000"/>
          <w:sz w:val="28"/>
        </w:rPr>
        <w:t>
      Примерами медицинских изделий, относящихся к подпункту "в" пункта 37 Правил классификации, могут являться медицинские изделия, предназначенные для выявления:</w:t>
      </w:r>
    </w:p>
    <w:bookmarkEnd w:id="88"/>
    <w:bookmarkStart w:name="z96" w:id="89"/>
    <w:p>
      <w:pPr>
        <w:spacing w:after="0"/>
        <w:ind w:left="0"/>
        <w:jc w:val="both"/>
      </w:pPr>
      <w:r>
        <w:rPr>
          <w:rFonts w:ascii="Times New Roman"/>
          <w:b w:val="false"/>
          <w:i w:val="false"/>
          <w:color w:val="000000"/>
          <w:sz w:val="28"/>
        </w:rPr>
        <w:t xml:space="preserve">
      бактериальных патогенов: </w:t>
      </w:r>
      <w:r>
        <w:rPr>
          <w:rFonts w:ascii="Times New Roman"/>
          <w:b w:val="false"/>
          <w:i/>
          <w:color w:val="000000"/>
          <w:sz w:val="28"/>
        </w:rPr>
        <w:t>Treponema</w:t>
      </w:r>
      <w:r>
        <w:rPr>
          <w:rFonts w:ascii="Times New Roman"/>
          <w:b w:val="false"/>
          <w:i w:val="false"/>
          <w:color w:val="000000"/>
          <w:sz w:val="28"/>
        </w:rPr>
        <w:t xml:space="preserve"> </w:t>
      </w:r>
      <w:r>
        <w:rPr>
          <w:rFonts w:ascii="Times New Roman"/>
          <w:b w:val="false"/>
          <w:i/>
          <w:color w:val="000000"/>
          <w:sz w:val="28"/>
        </w:rPr>
        <w:t>pallidum,</w:t>
      </w:r>
      <w:r>
        <w:rPr>
          <w:rFonts w:ascii="Times New Roman"/>
          <w:b w:val="false"/>
          <w:i w:val="false"/>
          <w:color w:val="000000"/>
          <w:sz w:val="28"/>
        </w:rPr>
        <w:t xml:space="preserve"> </w:t>
      </w:r>
      <w:r>
        <w:rPr>
          <w:rFonts w:ascii="Times New Roman"/>
          <w:b w:val="false"/>
          <w:i/>
          <w:color w:val="000000"/>
          <w:sz w:val="28"/>
        </w:rPr>
        <w:t>Chlamydia</w:t>
      </w:r>
      <w:r>
        <w:rPr>
          <w:rFonts w:ascii="Times New Roman"/>
          <w:b w:val="false"/>
          <w:i w:val="false"/>
          <w:color w:val="000000"/>
          <w:sz w:val="28"/>
        </w:rPr>
        <w:t xml:space="preserve"> </w:t>
      </w:r>
      <w:r>
        <w:rPr>
          <w:rFonts w:ascii="Times New Roman"/>
          <w:b w:val="false"/>
          <w:i/>
          <w:color w:val="000000"/>
          <w:sz w:val="28"/>
        </w:rPr>
        <w:t>trachomatis,</w:t>
      </w:r>
      <w:r>
        <w:rPr>
          <w:rFonts w:ascii="Times New Roman"/>
          <w:b w:val="false"/>
          <w:i w:val="false"/>
          <w:color w:val="000000"/>
          <w:sz w:val="28"/>
        </w:rPr>
        <w:t xml:space="preserve"> </w:t>
      </w:r>
      <w:r>
        <w:rPr>
          <w:rFonts w:ascii="Times New Roman"/>
          <w:b w:val="false"/>
          <w:i/>
          <w:color w:val="000000"/>
          <w:sz w:val="28"/>
        </w:rPr>
        <w:t>Haemophilus</w:t>
      </w:r>
      <w:r>
        <w:rPr>
          <w:rFonts w:ascii="Times New Roman"/>
          <w:b w:val="false"/>
          <w:i w:val="false"/>
          <w:color w:val="000000"/>
          <w:sz w:val="28"/>
        </w:rPr>
        <w:t xml:space="preserve"> </w:t>
      </w:r>
      <w:r>
        <w:rPr>
          <w:rFonts w:ascii="Times New Roman"/>
          <w:b w:val="false"/>
          <w:i/>
          <w:color w:val="000000"/>
          <w:sz w:val="28"/>
        </w:rPr>
        <w:t>influenzae</w:t>
      </w:r>
      <w:r>
        <w:rPr>
          <w:rFonts w:ascii="Times New Roman"/>
          <w:b w:val="false"/>
          <w:i w:val="false"/>
          <w:color w:val="000000"/>
          <w:sz w:val="28"/>
        </w:rPr>
        <w:t xml:space="preserve"> </w:t>
      </w:r>
      <w:r>
        <w:rPr>
          <w:rFonts w:ascii="Times New Roman"/>
          <w:b w:val="false"/>
          <w:i/>
          <w:color w:val="000000"/>
          <w:sz w:val="28"/>
        </w:rPr>
        <w:t>типа</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Neisseria</w:t>
      </w:r>
      <w:r>
        <w:rPr>
          <w:rFonts w:ascii="Times New Roman"/>
          <w:b w:val="false"/>
          <w:i w:val="false"/>
          <w:color w:val="000000"/>
          <w:sz w:val="28"/>
        </w:rPr>
        <w:t xml:space="preserve"> </w:t>
      </w:r>
      <w:r>
        <w:rPr>
          <w:rFonts w:ascii="Times New Roman"/>
          <w:b w:val="false"/>
          <w:i/>
          <w:color w:val="000000"/>
          <w:sz w:val="28"/>
        </w:rPr>
        <w:t>meningitidis,</w:t>
      </w:r>
      <w:r>
        <w:rPr>
          <w:rFonts w:ascii="Times New Roman"/>
          <w:b w:val="false"/>
          <w:i w:val="false"/>
          <w:color w:val="000000"/>
          <w:sz w:val="28"/>
        </w:rPr>
        <w:t xml:space="preserve"> </w:t>
      </w:r>
      <w:r>
        <w:rPr>
          <w:rFonts w:ascii="Times New Roman"/>
          <w:b w:val="false"/>
          <w:i/>
          <w:color w:val="000000"/>
          <w:sz w:val="28"/>
        </w:rPr>
        <w:t>Listeria</w:t>
      </w:r>
      <w:r>
        <w:rPr>
          <w:rFonts w:ascii="Times New Roman"/>
          <w:b w:val="false"/>
          <w:i w:val="false"/>
          <w:color w:val="000000"/>
          <w:sz w:val="28"/>
        </w:rPr>
        <w:t xml:space="preserve"> </w:t>
      </w:r>
      <w:r>
        <w:rPr>
          <w:rFonts w:ascii="Times New Roman"/>
          <w:b w:val="false"/>
          <w:i/>
          <w:color w:val="000000"/>
          <w:sz w:val="28"/>
        </w:rPr>
        <w:t>meningitis</w:t>
      </w:r>
      <w:r>
        <w:rPr>
          <w:rFonts w:ascii="Times New Roman"/>
          <w:b w:val="false"/>
          <w:i w:val="false"/>
          <w:color w:val="000000"/>
          <w:sz w:val="28"/>
        </w:rPr>
        <w:t xml:space="preserve"> </w:t>
      </w:r>
      <w:r>
        <w:rPr>
          <w:rFonts w:ascii="Times New Roman"/>
          <w:b w:val="false"/>
          <w:i/>
          <w:color w:val="000000"/>
          <w:sz w:val="28"/>
        </w:rPr>
        <w:t>(Listeria</w:t>
      </w:r>
      <w:r>
        <w:rPr>
          <w:rFonts w:ascii="Times New Roman"/>
          <w:b w:val="false"/>
          <w:i w:val="false"/>
          <w:color w:val="000000"/>
          <w:sz w:val="28"/>
        </w:rPr>
        <w:t xml:space="preserve"> </w:t>
      </w:r>
      <w:r>
        <w:rPr>
          <w:rFonts w:ascii="Times New Roman"/>
          <w:b w:val="false"/>
          <w:i/>
          <w:color w:val="000000"/>
          <w:sz w:val="28"/>
        </w:rPr>
        <w:t>monocytogenes),</w:t>
      </w:r>
      <w:r>
        <w:rPr>
          <w:rFonts w:ascii="Times New Roman"/>
          <w:b w:val="false"/>
          <w:i w:val="false"/>
          <w:color w:val="000000"/>
          <w:sz w:val="28"/>
        </w:rPr>
        <w:t xml:space="preserve"> </w:t>
      </w:r>
      <w:r>
        <w:rPr>
          <w:rFonts w:ascii="Times New Roman"/>
          <w:b w:val="false"/>
          <w:i/>
          <w:color w:val="000000"/>
          <w:sz w:val="28"/>
        </w:rPr>
        <w:t>Mycobacterium</w:t>
      </w:r>
      <w:r>
        <w:rPr>
          <w:rFonts w:ascii="Times New Roman"/>
          <w:b w:val="false"/>
          <w:i w:val="false"/>
          <w:color w:val="000000"/>
          <w:sz w:val="28"/>
        </w:rPr>
        <w:t xml:space="preserve"> </w:t>
      </w:r>
      <w:r>
        <w:rPr>
          <w:rFonts w:ascii="Times New Roman"/>
          <w:b w:val="false"/>
          <w:i/>
          <w:color w:val="000000"/>
          <w:sz w:val="28"/>
        </w:rPr>
        <w:t>leprae,</w:t>
      </w:r>
      <w:r>
        <w:rPr>
          <w:rFonts w:ascii="Times New Roman"/>
          <w:b w:val="false"/>
          <w:i w:val="false"/>
          <w:color w:val="000000"/>
          <w:sz w:val="28"/>
        </w:rPr>
        <w:t xml:space="preserve"> </w:t>
      </w:r>
      <w:r>
        <w:rPr>
          <w:rFonts w:ascii="Times New Roman"/>
          <w:b w:val="false"/>
          <w:i/>
          <w:color w:val="000000"/>
          <w:sz w:val="28"/>
        </w:rPr>
        <w:t>Mycobacterium</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 xml:space="preserve"> </w:t>
      </w:r>
      <w:r>
        <w:rPr>
          <w:rFonts w:ascii="Times New Roman"/>
          <w:b w:val="false"/>
          <w:i/>
          <w:color w:val="000000"/>
          <w:sz w:val="28"/>
        </w:rPr>
        <w:t>Legionella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 xml:space="preserve"> </w:t>
      </w:r>
      <w:r>
        <w:rPr>
          <w:rFonts w:ascii="Times New Roman"/>
          <w:b w:val="false"/>
          <w:i/>
          <w:color w:val="000000"/>
          <w:sz w:val="28"/>
        </w:rPr>
        <w:t>Streptococcus</w:t>
      </w:r>
      <w:r>
        <w:rPr>
          <w:rFonts w:ascii="Times New Roman"/>
          <w:b w:val="false"/>
          <w:i w:val="false"/>
          <w:color w:val="000000"/>
          <w:sz w:val="28"/>
        </w:rPr>
        <w:t xml:space="preserve"> </w:t>
      </w:r>
      <w:r>
        <w:rPr>
          <w:rFonts w:ascii="Times New Roman"/>
          <w:b w:val="false"/>
          <w:i/>
          <w:color w:val="000000"/>
          <w:sz w:val="28"/>
        </w:rPr>
        <w:t>agalactiae,</w:t>
      </w:r>
      <w:r>
        <w:rPr>
          <w:rFonts w:ascii="Times New Roman"/>
          <w:b w:val="false"/>
          <w:i w:val="false"/>
          <w:color w:val="000000"/>
          <w:sz w:val="28"/>
        </w:rPr>
        <w:t xml:space="preserve"> метициллин-резистентного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val="false"/>
          <w:color w:val="000000"/>
          <w:sz w:val="28"/>
        </w:rPr>
        <w:t xml:space="preserve"> и множественных резистентных энтеробактерий;</w:t>
      </w:r>
    </w:p>
    <w:bookmarkEnd w:id="89"/>
    <w:bookmarkStart w:name="z97" w:id="90"/>
    <w:p>
      <w:pPr>
        <w:spacing w:after="0"/>
        <w:ind w:left="0"/>
        <w:jc w:val="both"/>
      </w:pPr>
      <w:r>
        <w:rPr>
          <w:rFonts w:ascii="Times New Roman"/>
          <w:b w:val="false"/>
          <w:i w:val="false"/>
          <w:color w:val="000000"/>
          <w:sz w:val="28"/>
        </w:rPr>
        <w:t xml:space="preserve">
      паразитарных возбудителей: </w:t>
      </w:r>
      <w:r>
        <w:rPr>
          <w:rFonts w:ascii="Times New Roman"/>
          <w:b w:val="false"/>
          <w:i/>
          <w:color w:val="000000"/>
          <w:sz w:val="28"/>
        </w:rPr>
        <w:t>Toxoplasma</w:t>
      </w:r>
      <w:r>
        <w:rPr>
          <w:rFonts w:ascii="Times New Roman"/>
          <w:b w:val="false"/>
          <w:i w:val="false"/>
          <w:color w:val="000000"/>
          <w:sz w:val="28"/>
        </w:rPr>
        <w:t xml:space="preserve"> </w:t>
      </w:r>
      <w:r>
        <w:rPr>
          <w:rFonts w:ascii="Times New Roman"/>
          <w:b w:val="false"/>
          <w:i/>
          <w:color w:val="000000"/>
          <w:sz w:val="28"/>
        </w:rPr>
        <w:t>gondii</w:t>
      </w:r>
      <w:r>
        <w:rPr>
          <w:rFonts w:ascii="Times New Roman"/>
          <w:b w:val="false"/>
          <w:i w:val="false"/>
          <w:color w:val="000000"/>
          <w:sz w:val="28"/>
        </w:rPr>
        <w:t>;</w:t>
      </w:r>
    </w:p>
    <w:bookmarkEnd w:id="90"/>
    <w:bookmarkStart w:name="z98" w:id="91"/>
    <w:p>
      <w:pPr>
        <w:spacing w:after="0"/>
        <w:ind w:left="0"/>
        <w:jc w:val="both"/>
      </w:pPr>
      <w:r>
        <w:rPr>
          <w:rFonts w:ascii="Times New Roman"/>
          <w:b w:val="false"/>
          <w:i w:val="false"/>
          <w:color w:val="000000"/>
          <w:sz w:val="28"/>
        </w:rPr>
        <w:t>
      вирусных возбудителей: вируса простого герпеса 1 и 2 типа, цитомегаловируса, вируса краснухи, вируса кори, вируса полиомиелита, парвовируса В19, вируса Зика.</w:t>
      </w:r>
    </w:p>
    <w:bookmarkEnd w:id="91"/>
    <w:bookmarkStart w:name="z99" w:id="92"/>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подпунктом "г"</w:t>
      </w:r>
      <w:r>
        <w:rPr>
          <w:rFonts w:ascii="Times New Roman"/>
          <w:b w:val="false"/>
          <w:i w:val="false"/>
          <w:color w:val="000000"/>
          <w:sz w:val="28"/>
        </w:rPr>
        <w:t xml:space="preserve"> пункта 37 Правил классификации медицинские изделия, предназначенные для скрининга при беременности женщин в целях определения их иммунного статуса по отношению к инфекциям, относятся к классу 2б.</w:t>
      </w:r>
    </w:p>
    <w:bookmarkEnd w:id="92"/>
    <w:bookmarkStart w:name="z100" w:id="93"/>
    <w:p>
      <w:pPr>
        <w:spacing w:after="0"/>
        <w:ind w:left="0"/>
        <w:jc w:val="both"/>
      </w:pPr>
      <w:r>
        <w:rPr>
          <w:rFonts w:ascii="Times New Roman"/>
          <w:b w:val="false"/>
          <w:i w:val="false"/>
          <w:color w:val="000000"/>
          <w:sz w:val="28"/>
        </w:rPr>
        <w:t>
      Подпункт "г" пункта 37 Правил классификации следует применять в отношении медицинских изделий, предназначенных для скрининга беременных женщин до родов с целью выявления наличия (отсутствия) приобретенного соответствующим образом направленного иммунного ответа на инфекционные агенты (в том числе к трансмиссивным агентам, вызывающим инфекции у эмбриона и плода). Термин "иммунный статус" относится к наличию, отсутствию или уровню иммунного ответа, приобретенного женщинами после инфекции или вакцинации.</w:t>
      </w:r>
    </w:p>
    <w:bookmarkEnd w:id="93"/>
    <w:bookmarkStart w:name="z101" w:id="94"/>
    <w:p>
      <w:pPr>
        <w:spacing w:after="0"/>
        <w:ind w:left="0"/>
        <w:jc w:val="both"/>
      </w:pPr>
      <w:r>
        <w:rPr>
          <w:rFonts w:ascii="Times New Roman"/>
          <w:b w:val="false"/>
          <w:i w:val="false"/>
          <w:color w:val="000000"/>
          <w:sz w:val="28"/>
        </w:rPr>
        <w:t>
      Примерами таких медицинских изделий могут являться медицинские изделия, специально предназначенные для пренатального скрининга в целях определения иммунного статуса женщин в отношении:</w:t>
      </w:r>
    </w:p>
    <w:bookmarkEnd w:id="94"/>
    <w:bookmarkStart w:name="z102" w:id="95"/>
    <w:p>
      <w:pPr>
        <w:spacing w:after="0"/>
        <w:ind w:left="0"/>
        <w:jc w:val="both"/>
      </w:pPr>
      <w:r>
        <w:rPr>
          <w:rFonts w:ascii="Times New Roman"/>
          <w:b w:val="false"/>
          <w:i w:val="false"/>
          <w:color w:val="000000"/>
          <w:sz w:val="28"/>
        </w:rPr>
        <w:t>
      цитомегаловируса;</w:t>
      </w:r>
    </w:p>
    <w:bookmarkEnd w:id="95"/>
    <w:bookmarkStart w:name="z103" w:id="96"/>
    <w:p>
      <w:pPr>
        <w:spacing w:after="0"/>
        <w:ind w:left="0"/>
        <w:jc w:val="both"/>
      </w:pPr>
      <w:r>
        <w:rPr>
          <w:rFonts w:ascii="Times New Roman"/>
          <w:b w:val="false"/>
          <w:i w:val="false"/>
          <w:color w:val="000000"/>
          <w:sz w:val="28"/>
        </w:rPr>
        <w:t>
      вируса краснухи;</w:t>
      </w:r>
    </w:p>
    <w:bookmarkEnd w:id="96"/>
    <w:bookmarkStart w:name="z104" w:id="97"/>
    <w:p>
      <w:pPr>
        <w:spacing w:after="0"/>
        <w:ind w:left="0"/>
        <w:jc w:val="both"/>
      </w:pPr>
      <w:r>
        <w:rPr>
          <w:rFonts w:ascii="Times New Roman"/>
          <w:b w:val="false"/>
          <w:i w:val="false"/>
          <w:color w:val="000000"/>
          <w:sz w:val="28"/>
        </w:rPr>
        <w:t xml:space="preserve">
      </w:t>
      </w:r>
      <w:r>
        <w:rPr>
          <w:rFonts w:ascii="Times New Roman"/>
          <w:b w:val="false"/>
          <w:i/>
          <w:color w:val="000000"/>
          <w:sz w:val="28"/>
        </w:rPr>
        <w:t>Toxoplasma</w:t>
      </w:r>
      <w:r>
        <w:rPr>
          <w:rFonts w:ascii="Times New Roman"/>
          <w:b w:val="false"/>
          <w:i w:val="false"/>
          <w:color w:val="000000"/>
          <w:sz w:val="28"/>
        </w:rPr>
        <w:t xml:space="preserve"> </w:t>
      </w:r>
      <w:r>
        <w:rPr>
          <w:rFonts w:ascii="Times New Roman"/>
          <w:b w:val="false"/>
          <w:i/>
          <w:color w:val="000000"/>
          <w:sz w:val="28"/>
        </w:rPr>
        <w:t>gondii</w:t>
      </w:r>
      <w:r>
        <w:rPr>
          <w:rFonts w:ascii="Times New Roman"/>
          <w:b w:val="false"/>
          <w:i w:val="false"/>
          <w:color w:val="000000"/>
          <w:sz w:val="28"/>
        </w:rPr>
        <w:t>;</w:t>
      </w:r>
    </w:p>
    <w:bookmarkEnd w:id="97"/>
    <w:bookmarkStart w:name="z105" w:id="98"/>
    <w:p>
      <w:pPr>
        <w:spacing w:after="0"/>
        <w:ind w:left="0"/>
        <w:jc w:val="both"/>
      </w:pPr>
      <w:r>
        <w:rPr>
          <w:rFonts w:ascii="Times New Roman"/>
          <w:b w:val="false"/>
          <w:i w:val="false"/>
          <w:color w:val="000000"/>
          <w:sz w:val="28"/>
        </w:rPr>
        <w:t>
      вируса ветряной оспы (</w:t>
      </w:r>
      <w:r>
        <w:rPr>
          <w:rFonts w:ascii="Times New Roman"/>
          <w:b w:val="false"/>
          <w:i/>
          <w:color w:val="000000"/>
          <w:sz w:val="28"/>
        </w:rPr>
        <w:t>Varicella</w:t>
      </w:r>
      <w:r>
        <w:rPr>
          <w:rFonts w:ascii="Times New Roman"/>
          <w:b w:val="false"/>
          <w:i w:val="false"/>
          <w:color w:val="000000"/>
          <w:sz w:val="28"/>
        </w:rPr>
        <w:t xml:space="preserve"> </w:t>
      </w:r>
      <w:r>
        <w:rPr>
          <w:rFonts w:ascii="Times New Roman"/>
          <w:b w:val="false"/>
          <w:i/>
          <w:color w:val="000000"/>
          <w:sz w:val="28"/>
        </w:rPr>
        <w:t>zoster</w:t>
      </w:r>
      <w:r>
        <w:rPr>
          <w:rFonts w:ascii="Times New Roman"/>
          <w:b w:val="false"/>
          <w:i w:val="false"/>
          <w:color w:val="000000"/>
          <w:sz w:val="28"/>
        </w:rPr>
        <w:t xml:space="preserve"> </w:t>
      </w:r>
      <w:r>
        <w:rPr>
          <w:rFonts w:ascii="Times New Roman"/>
          <w:b w:val="false"/>
          <w:i/>
          <w:color w:val="000000"/>
          <w:sz w:val="28"/>
        </w:rPr>
        <w:t>virus</w:t>
      </w:r>
      <w:r>
        <w:rPr>
          <w:rFonts w:ascii="Times New Roman"/>
          <w:b w:val="false"/>
          <w:i w:val="false"/>
          <w:color w:val="000000"/>
          <w:sz w:val="28"/>
        </w:rPr>
        <w:t>)</w:t>
      </w:r>
      <w:r>
        <w:rPr>
          <w:rFonts w:ascii="Times New Roman"/>
          <w:b w:val="false"/>
          <w:i/>
          <w:color w:val="000000"/>
          <w:sz w:val="28"/>
        </w:rPr>
        <w:t>;</w:t>
      </w:r>
    </w:p>
    <w:bookmarkEnd w:id="98"/>
    <w:bookmarkStart w:name="z106" w:id="99"/>
    <w:p>
      <w:pPr>
        <w:spacing w:after="0"/>
        <w:ind w:left="0"/>
        <w:jc w:val="both"/>
      </w:pPr>
      <w:r>
        <w:rPr>
          <w:rFonts w:ascii="Times New Roman"/>
          <w:b w:val="false"/>
          <w:i w:val="false"/>
          <w:color w:val="000000"/>
          <w:sz w:val="28"/>
        </w:rPr>
        <w:t>
      вируса Зика;</w:t>
      </w:r>
    </w:p>
    <w:bookmarkEnd w:id="99"/>
    <w:bookmarkStart w:name="z107" w:id="100"/>
    <w:p>
      <w:pPr>
        <w:spacing w:after="0"/>
        <w:ind w:left="0"/>
        <w:jc w:val="both"/>
      </w:pPr>
      <w:r>
        <w:rPr>
          <w:rFonts w:ascii="Times New Roman"/>
          <w:b w:val="false"/>
          <w:i w:val="false"/>
          <w:color w:val="000000"/>
          <w:sz w:val="28"/>
        </w:rPr>
        <w:t>
      парвовируса B19.</w:t>
      </w:r>
    </w:p>
    <w:bookmarkEnd w:id="100"/>
    <w:bookmarkStart w:name="z108" w:id="101"/>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"д"</w:t>
      </w:r>
      <w:r>
        <w:rPr>
          <w:rFonts w:ascii="Times New Roman"/>
          <w:b w:val="false"/>
          <w:i w:val="false"/>
          <w:color w:val="000000"/>
          <w:sz w:val="28"/>
        </w:rPr>
        <w:t xml:space="preserve"> пункта 37 Правил классификации медицинские изделия, предназначенные для определения статуса инфекционной болезни или иммунного статуса при наличии риска того, что ошибочный результат приведет к терапевтическому решению, вызывающему инвалидность или неизбежное возникновение опасной ситуации для жизни пациента или его потомства, относятся к классу 2б.</w:t>
      </w:r>
    </w:p>
    <w:bookmarkEnd w:id="101"/>
    <w:bookmarkStart w:name="z109" w:id="102"/>
    <w:p>
      <w:pPr>
        <w:spacing w:after="0"/>
        <w:ind w:left="0"/>
        <w:jc w:val="both"/>
      </w:pPr>
      <w:r>
        <w:rPr>
          <w:rFonts w:ascii="Times New Roman"/>
          <w:b w:val="false"/>
          <w:i w:val="false"/>
          <w:color w:val="000000"/>
          <w:sz w:val="28"/>
        </w:rPr>
        <w:t>
      Подпункт "д" пункта 37 Правил классификации следует применять в отношении медицинских изделий, предназначенных как для определения статуса инфекционного заболевания, так и для определения иммунного статуса пациента.</w:t>
      </w:r>
    </w:p>
    <w:bookmarkEnd w:id="102"/>
    <w:bookmarkStart w:name="z110" w:id="103"/>
    <w:p>
      <w:pPr>
        <w:spacing w:after="0"/>
        <w:ind w:left="0"/>
        <w:jc w:val="both"/>
      </w:pPr>
      <w:r>
        <w:rPr>
          <w:rFonts w:ascii="Times New Roman"/>
          <w:b w:val="false"/>
          <w:i w:val="false"/>
          <w:color w:val="000000"/>
          <w:sz w:val="28"/>
        </w:rPr>
        <w:t>
      Определение статуса инфекционного заболевания предоставляет информацию о состоянии или развитии заболевания, вызванного инфекционным агентом. В этом контексте определение статуса инфекционного заболевания обычно включает выявление инфекционных агентов, антител к инфекционным агентам, маркеров или аналитов в образцах, взятых у пациентов.</w:t>
      </w:r>
    </w:p>
    <w:bookmarkEnd w:id="103"/>
    <w:bookmarkStart w:name="z111" w:id="104"/>
    <w:p>
      <w:pPr>
        <w:spacing w:after="0"/>
        <w:ind w:left="0"/>
        <w:jc w:val="both"/>
      </w:pPr>
      <w:r>
        <w:rPr>
          <w:rFonts w:ascii="Times New Roman"/>
          <w:b w:val="false"/>
          <w:i w:val="false"/>
          <w:color w:val="000000"/>
          <w:sz w:val="28"/>
        </w:rPr>
        <w:t>
      Определение иммунного статуса дает информацию о состоянии или развитии иммунного ответа, приобретенного пациентом в связи с заражением патогенным агентом, прививками, аллергическими, иммунотоксическими, аутоиммунными и аллоиммунными реакциями, такими как трансфузионные реакции и реакции отторжения трансплантата.</w:t>
      </w:r>
    </w:p>
    <w:bookmarkEnd w:id="104"/>
    <w:bookmarkStart w:name="z112" w:id="105"/>
    <w:p>
      <w:pPr>
        <w:spacing w:after="0"/>
        <w:ind w:left="0"/>
        <w:jc w:val="both"/>
      </w:pPr>
      <w:r>
        <w:rPr>
          <w:rFonts w:ascii="Times New Roman"/>
          <w:b w:val="false"/>
          <w:i w:val="false"/>
          <w:color w:val="000000"/>
          <w:sz w:val="28"/>
        </w:rPr>
        <w:t>
      Примерами таких медицинских изделий могут являться:</w:t>
      </w:r>
    </w:p>
    <w:bookmarkEnd w:id="105"/>
    <w:bookmarkStart w:name="z113" w:id="106"/>
    <w:p>
      <w:pPr>
        <w:spacing w:after="0"/>
        <w:ind w:left="0"/>
        <w:jc w:val="both"/>
      </w:pPr>
      <w:r>
        <w:rPr>
          <w:rFonts w:ascii="Times New Roman"/>
          <w:b w:val="false"/>
          <w:i w:val="false"/>
          <w:color w:val="000000"/>
          <w:sz w:val="28"/>
        </w:rPr>
        <w:t xml:space="preserve">
      набор реагентов для выявления </w:t>
      </w:r>
      <w:r>
        <w:rPr>
          <w:rFonts w:ascii="Times New Roman"/>
          <w:b w:val="false"/>
          <w:i/>
          <w:color w:val="000000"/>
          <w:sz w:val="28"/>
        </w:rPr>
        <w:t>Salmonella</w:t>
      </w:r>
      <w:r>
        <w:rPr>
          <w:rFonts w:ascii="Times New Roman"/>
          <w:b w:val="false"/>
          <w:i w:val="false"/>
          <w:color w:val="000000"/>
          <w:sz w:val="28"/>
        </w:rPr>
        <w:t xml:space="preserve"> </w:t>
      </w:r>
      <w:r>
        <w:rPr>
          <w:rFonts w:ascii="Times New Roman"/>
          <w:b w:val="false"/>
          <w:i/>
          <w:color w:val="000000"/>
          <w:sz w:val="28"/>
        </w:rPr>
        <w:t>typhi</w:t>
      </w:r>
      <w:r>
        <w:rPr>
          <w:rFonts w:ascii="Times New Roman"/>
          <w:b w:val="false"/>
          <w:i w:val="false"/>
          <w:color w:val="000000"/>
          <w:sz w:val="28"/>
        </w:rPr>
        <w:t xml:space="preserve"> в фекалиях для оценки статуса носительства инфекционного заболевания у пациентов;</w:t>
      </w:r>
    </w:p>
    <w:bookmarkEnd w:id="106"/>
    <w:bookmarkStart w:name="z114" w:id="107"/>
    <w:p>
      <w:pPr>
        <w:spacing w:after="0"/>
        <w:ind w:left="0"/>
        <w:jc w:val="both"/>
      </w:pPr>
      <w:r>
        <w:rPr>
          <w:rFonts w:ascii="Times New Roman"/>
          <w:b w:val="false"/>
          <w:i w:val="false"/>
          <w:color w:val="000000"/>
          <w:sz w:val="28"/>
        </w:rPr>
        <w:t xml:space="preserve">
      набор реагентов для определения антител лимфоцитов методом иммуноферментного анализа для выявления активной инфекции </w:t>
      </w:r>
      <w:r>
        <w:rPr>
          <w:rFonts w:ascii="Times New Roman"/>
          <w:b w:val="false"/>
          <w:i/>
          <w:color w:val="000000"/>
          <w:sz w:val="28"/>
        </w:rPr>
        <w:t>Mycobacterium</w:t>
      </w:r>
      <w:r>
        <w:rPr>
          <w:rFonts w:ascii="Times New Roman"/>
          <w:b w:val="false"/>
          <w:i w:val="false"/>
          <w:color w:val="000000"/>
          <w:sz w:val="28"/>
        </w:rPr>
        <w:t xml:space="preserve"> </w:t>
      </w:r>
      <w:r>
        <w:rPr>
          <w:rFonts w:ascii="Times New Roman"/>
          <w:b w:val="false"/>
          <w:i/>
          <w:color w:val="000000"/>
          <w:sz w:val="28"/>
        </w:rPr>
        <w:t>tuberculosis</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наборы реагентов для количественного определения вирус-специфических нуклеиновых кислот (например, для выявления цитомегаловируса, вируса Джона Каннингема, аденовируса, энтеровируса) для мониторинга реакции пациента с ослабленным иммунитетом (например, пациента после трансплантации) на противовирусную терапию;</w:t>
      </w:r>
    </w:p>
    <w:bookmarkEnd w:id="108"/>
    <w:bookmarkStart w:name="z116" w:id="109"/>
    <w:p>
      <w:pPr>
        <w:spacing w:after="0"/>
        <w:ind w:left="0"/>
        <w:jc w:val="both"/>
      </w:pPr>
      <w:r>
        <w:rPr>
          <w:rFonts w:ascii="Times New Roman"/>
          <w:b w:val="false"/>
          <w:i w:val="false"/>
          <w:color w:val="000000"/>
          <w:sz w:val="28"/>
        </w:rPr>
        <w:t xml:space="preserve">
      набор реагентов для определения метициллин-резистентного штамма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val="false"/>
          <w:color w:val="000000"/>
          <w:sz w:val="28"/>
        </w:rPr>
        <w:t xml:space="preserve"> на основе полимеразной цепной реакции для предоперационного скрининга пациентов;</w:t>
      </w:r>
    </w:p>
    <w:bookmarkEnd w:id="109"/>
    <w:bookmarkStart w:name="z117" w:id="110"/>
    <w:p>
      <w:pPr>
        <w:spacing w:after="0"/>
        <w:ind w:left="0"/>
        <w:jc w:val="both"/>
      </w:pPr>
      <w:r>
        <w:rPr>
          <w:rFonts w:ascii="Times New Roman"/>
          <w:b w:val="false"/>
          <w:i w:val="false"/>
          <w:color w:val="000000"/>
          <w:sz w:val="28"/>
        </w:rPr>
        <w:t>
      набор реагентов для обнаружения антител IgM против HEV;</w:t>
      </w:r>
    </w:p>
    <w:bookmarkEnd w:id="110"/>
    <w:bookmarkStart w:name="z118" w:id="111"/>
    <w:p>
      <w:pPr>
        <w:spacing w:after="0"/>
        <w:ind w:left="0"/>
        <w:jc w:val="both"/>
      </w:pPr>
      <w:r>
        <w:rPr>
          <w:rFonts w:ascii="Times New Roman"/>
          <w:b w:val="false"/>
          <w:i w:val="false"/>
          <w:color w:val="000000"/>
          <w:sz w:val="28"/>
        </w:rPr>
        <w:t>
      набор реагентов для количественной оценки интратекального синтеза антител к вирусу краснухи при диагностике краснушного энцефалита, иммуноферментный анализ интратекального синтеза антител;</w:t>
      </w:r>
    </w:p>
    <w:bookmarkEnd w:id="111"/>
    <w:bookmarkStart w:name="z119" w:id="112"/>
    <w:p>
      <w:pPr>
        <w:spacing w:after="0"/>
        <w:ind w:left="0"/>
        <w:jc w:val="both"/>
      </w:pPr>
      <w:r>
        <w:rPr>
          <w:rFonts w:ascii="Times New Roman"/>
          <w:b w:val="false"/>
          <w:i w:val="false"/>
          <w:color w:val="000000"/>
          <w:sz w:val="28"/>
        </w:rPr>
        <w:t>
      реагенты или наборы реагентов, предназначенные для выявления у реципиента антител к потенциально патогенным вирусам (например, антитела к цитомегаловирусу, вирусу простого герпеса) для определения латентного статуса вирусной инфекции перед трансплантацией органов или костного мозга;</w:t>
      </w:r>
    </w:p>
    <w:bookmarkEnd w:id="112"/>
    <w:bookmarkStart w:name="z120" w:id="113"/>
    <w:p>
      <w:pPr>
        <w:spacing w:after="0"/>
        <w:ind w:left="0"/>
        <w:jc w:val="both"/>
      </w:pPr>
      <w:r>
        <w:rPr>
          <w:rFonts w:ascii="Times New Roman"/>
          <w:b w:val="false"/>
          <w:i w:val="false"/>
          <w:color w:val="000000"/>
          <w:sz w:val="28"/>
        </w:rPr>
        <w:t>
      панели для определения антител к аллергенам. Например, наборы реагентов на множественные аллергены (multiple allergen simultaneous test, MAST), предназначенные для обнаружения антител IgE к нескольким специфическим аллергенам, которые могут привести к анафилаксии (некоторые пищевые аллергены или аллергены яда перепончатокрылых). Ложноотрицательные результаты таких тестов MAST могут увеличить риск того, что пациенту не будет оказана адекватная помощь в случае возникновения опасного для жизни анафилактического шока.</w:t>
      </w:r>
    </w:p>
    <w:bookmarkEnd w:id="113"/>
    <w:bookmarkStart w:name="z121" w:id="114"/>
    <w:p>
      <w:pPr>
        <w:spacing w:after="0"/>
        <w:ind w:left="0"/>
        <w:jc w:val="both"/>
      </w:pPr>
      <w:r>
        <w:rPr>
          <w:rFonts w:ascii="Times New Roman"/>
          <w:b w:val="false"/>
          <w:i w:val="false"/>
          <w:color w:val="000000"/>
          <w:sz w:val="28"/>
        </w:rPr>
        <w:t xml:space="preserve">
      набор реагентов для выявления у реципиента аллоантител, связанных с реакциями отторжения трансплантата, таких как антитела против рецепторов </w:t>
      </w:r>
      <w:r>
        <w:rPr>
          <w:rFonts w:ascii="Times New Roman"/>
          <w:b w:val="false"/>
          <w:i w:val="false"/>
          <w:color w:val="000000"/>
          <w:sz w:val="28"/>
        </w:rPr>
        <w:t>b</w:t>
      </w:r>
      <w:r>
        <w:rPr>
          <w:rFonts w:ascii="Times New Roman"/>
          <w:b w:val="false"/>
          <w:i w:val="false"/>
          <w:color w:val="000000"/>
          <w:sz w:val="28"/>
        </w:rPr>
        <w:t>-ангиотензина II типа 1 (анти-AT1R) и против рецепторов эндотелина типа А (анти-ETAR);</w:t>
      </w:r>
    </w:p>
    <w:bookmarkEnd w:id="114"/>
    <w:bookmarkStart w:name="z122" w:id="115"/>
    <w:p>
      <w:pPr>
        <w:spacing w:after="0"/>
        <w:ind w:left="0"/>
        <w:jc w:val="both"/>
      </w:pPr>
      <w:r>
        <w:rPr>
          <w:rFonts w:ascii="Times New Roman"/>
          <w:b w:val="false"/>
          <w:i w:val="false"/>
          <w:color w:val="000000"/>
          <w:sz w:val="28"/>
        </w:rPr>
        <w:t xml:space="preserve">
      набор реагентов для качественного выявления в крови Т-клеток, реагирующих на стимуляцию антигеном </w:t>
      </w:r>
      <w:r>
        <w:rPr>
          <w:rFonts w:ascii="Times New Roman"/>
          <w:b w:val="false"/>
          <w:i/>
          <w:color w:val="000000"/>
          <w:sz w:val="28"/>
        </w:rPr>
        <w:t>Mycobacterium</w:t>
      </w:r>
      <w:r>
        <w:rPr>
          <w:rFonts w:ascii="Times New Roman"/>
          <w:b w:val="false"/>
          <w:i w:val="false"/>
          <w:color w:val="000000"/>
          <w:sz w:val="28"/>
        </w:rPr>
        <w:t xml:space="preserve"> </w:t>
      </w:r>
      <w:r>
        <w:rPr>
          <w:rFonts w:ascii="Times New Roman"/>
          <w:b w:val="false"/>
          <w:i/>
          <w:color w:val="000000"/>
          <w:sz w:val="28"/>
        </w:rPr>
        <w:t>tuberculosis</w:t>
      </w:r>
      <w:r>
        <w:rPr>
          <w:rFonts w:ascii="Times New Roman"/>
          <w:b w:val="false"/>
          <w:i w:val="false"/>
          <w:color w:val="000000"/>
          <w:sz w:val="28"/>
        </w:rPr>
        <w:t>, для диагностики туберкулезной инфекции методом анализа высвобождения гамма-интерферона (IGRA).</w:t>
      </w:r>
    </w:p>
    <w:bookmarkEnd w:id="115"/>
    <w:bookmarkStart w:name="z123" w:id="116"/>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подпунктом "е"</w:t>
      </w:r>
      <w:r>
        <w:rPr>
          <w:rFonts w:ascii="Times New Roman"/>
          <w:b w:val="false"/>
          <w:i w:val="false"/>
          <w:color w:val="000000"/>
          <w:sz w:val="28"/>
        </w:rPr>
        <w:t xml:space="preserve"> пункта 37 Правил классификации медицинские изделия, предназначенные для скрининга, диагностики или определения стадии онкологического заболевания, относятся к классу 2б.</w:t>
      </w:r>
    </w:p>
    <w:bookmarkEnd w:id="116"/>
    <w:bookmarkStart w:name="z124" w:id="117"/>
    <w:p>
      <w:pPr>
        <w:spacing w:after="0"/>
        <w:ind w:left="0"/>
        <w:jc w:val="both"/>
      </w:pPr>
      <w:r>
        <w:rPr>
          <w:rFonts w:ascii="Times New Roman"/>
          <w:b w:val="false"/>
          <w:i w:val="false"/>
          <w:color w:val="000000"/>
          <w:sz w:val="28"/>
        </w:rPr>
        <w:t>
      Примерами таких медицинских изделий могут являться:</w:t>
      </w:r>
    </w:p>
    <w:bookmarkEnd w:id="117"/>
    <w:bookmarkStart w:name="z125" w:id="118"/>
    <w:p>
      <w:pPr>
        <w:spacing w:after="0"/>
        <w:ind w:left="0"/>
        <w:jc w:val="both"/>
      </w:pPr>
      <w:r>
        <w:rPr>
          <w:rFonts w:ascii="Times New Roman"/>
          <w:b w:val="false"/>
          <w:i w:val="false"/>
          <w:color w:val="000000"/>
          <w:sz w:val="28"/>
        </w:rPr>
        <w:t>
      набор реагентов для скрининга образцов кала на скрытую кровь или набор реагентов для иммунохимических исследований образцов кала, специально предназначенный для использования при скрининге рака толстой кишки;</w:t>
      </w:r>
    </w:p>
    <w:bookmarkEnd w:id="118"/>
    <w:bookmarkStart w:name="z126" w:id="119"/>
    <w:p>
      <w:pPr>
        <w:spacing w:after="0"/>
        <w:ind w:left="0"/>
        <w:jc w:val="both"/>
      </w:pPr>
      <w:r>
        <w:rPr>
          <w:rFonts w:ascii="Times New Roman"/>
          <w:b w:val="false"/>
          <w:i w:val="false"/>
          <w:color w:val="000000"/>
          <w:sz w:val="28"/>
        </w:rPr>
        <w:t>
      автоматизированная система цитологического исследования с окрашиванием по Папаниколау, предназначенная для обработки образцов цервикального канала и классификации образца цервикального канала как нормального или аномального, скрининговое исследование;</w:t>
      </w:r>
    </w:p>
    <w:bookmarkEnd w:id="119"/>
    <w:bookmarkStart w:name="z127" w:id="120"/>
    <w:p>
      <w:pPr>
        <w:spacing w:after="0"/>
        <w:ind w:left="0"/>
        <w:jc w:val="both"/>
      </w:pPr>
      <w:r>
        <w:rPr>
          <w:rFonts w:ascii="Times New Roman"/>
          <w:b w:val="false"/>
          <w:i w:val="false"/>
          <w:color w:val="000000"/>
          <w:sz w:val="28"/>
        </w:rPr>
        <w:t>
      набор реагентов для молекулярно-биологического исследования отделяемого соскоба из цервикального канала на вирус папилломы человека высокого онкогенного риска и его генотипирования с целью выявления группы риска предрака, рака шейки матки или для оценки прогрессирования цервикальной интраэпителиальной неоплазии (CIN);</w:t>
      </w:r>
    </w:p>
    <w:bookmarkEnd w:id="120"/>
    <w:bookmarkStart w:name="z128" w:id="121"/>
    <w:p>
      <w:pPr>
        <w:spacing w:after="0"/>
        <w:ind w:left="0"/>
        <w:jc w:val="both"/>
      </w:pPr>
      <w:r>
        <w:rPr>
          <w:rFonts w:ascii="Times New Roman"/>
          <w:b w:val="false"/>
          <w:i w:val="false"/>
          <w:color w:val="000000"/>
          <w:sz w:val="28"/>
        </w:rPr>
        <w:t>
      набор реагентов для количественного определения онкомаркера СА 125, ассоциированного с раком яичника в сыворотке крови;</w:t>
      </w:r>
    </w:p>
    <w:bookmarkEnd w:id="121"/>
    <w:bookmarkStart w:name="z129" w:id="122"/>
    <w:p>
      <w:pPr>
        <w:spacing w:after="0"/>
        <w:ind w:left="0"/>
        <w:jc w:val="both"/>
      </w:pPr>
      <w:r>
        <w:rPr>
          <w:rFonts w:ascii="Times New Roman"/>
          <w:b w:val="false"/>
          <w:i w:val="false"/>
          <w:color w:val="000000"/>
          <w:sz w:val="28"/>
        </w:rPr>
        <w:t>
      набор реагентов для иммуногистохимического анализа, предназначенный для обнаружения рецептора прогестерона в опухолях молочной железы для прогнозирования результатов терапии карциномы молочной железы;</w:t>
      </w:r>
    </w:p>
    <w:bookmarkEnd w:id="122"/>
    <w:bookmarkStart w:name="z130" w:id="123"/>
    <w:p>
      <w:pPr>
        <w:spacing w:after="0"/>
        <w:ind w:left="0"/>
        <w:jc w:val="both"/>
      </w:pPr>
      <w:r>
        <w:rPr>
          <w:rFonts w:ascii="Times New Roman"/>
          <w:b w:val="false"/>
          <w:i w:val="false"/>
          <w:color w:val="000000"/>
          <w:sz w:val="28"/>
        </w:rPr>
        <w:t xml:space="preserve">
      наборы реагентов на основе флуоресцентной гибридизации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situ</w:t>
      </w:r>
      <w:r>
        <w:rPr>
          <w:rFonts w:ascii="Times New Roman"/>
          <w:b w:val="false"/>
          <w:i w:val="false"/>
          <w:color w:val="000000"/>
          <w:sz w:val="28"/>
        </w:rPr>
        <w:t xml:space="preserve"> (FISH), предназначенные для диагностики, например, лимфомы, множественной миеломы и лейкемии;</w:t>
      </w:r>
    </w:p>
    <w:bookmarkEnd w:id="123"/>
    <w:bookmarkStart w:name="z131" w:id="124"/>
    <w:p>
      <w:pPr>
        <w:spacing w:after="0"/>
        <w:ind w:left="0"/>
        <w:jc w:val="both"/>
      </w:pPr>
      <w:r>
        <w:rPr>
          <w:rFonts w:ascii="Times New Roman"/>
          <w:b w:val="false"/>
          <w:i w:val="false"/>
          <w:color w:val="000000"/>
          <w:sz w:val="28"/>
        </w:rPr>
        <w:t>
      набор реагентов для таргетного секвенирования следующего поколения для выявления соматических мутаций в ДНК, выделенной из образцов опухолевой ткани, фиксированных формалином и залитых парафином;</w:t>
      </w:r>
    </w:p>
    <w:bookmarkEnd w:id="124"/>
    <w:bookmarkStart w:name="z132" w:id="125"/>
    <w:p>
      <w:pPr>
        <w:spacing w:after="0"/>
        <w:ind w:left="0"/>
        <w:jc w:val="both"/>
      </w:pPr>
      <w:r>
        <w:rPr>
          <w:rFonts w:ascii="Times New Roman"/>
          <w:b w:val="false"/>
          <w:i w:val="false"/>
          <w:color w:val="000000"/>
          <w:sz w:val="28"/>
        </w:rPr>
        <w:t>
      набор реагентов для обнаружения делеций или дупликаций в гене BRCA1 человека для диагностики наследственного рака молочной железы и яичников;</w:t>
      </w:r>
    </w:p>
    <w:bookmarkEnd w:id="125"/>
    <w:bookmarkStart w:name="z133" w:id="126"/>
    <w:p>
      <w:pPr>
        <w:spacing w:after="0"/>
        <w:ind w:left="0"/>
        <w:jc w:val="both"/>
      </w:pPr>
      <w:r>
        <w:rPr>
          <w:rFonts w:ascii="Times New Roman"/>
          <w:b w:val="false"/>
          <w:i w:val="false"/>
          <w:color w:val="000000"/>
          <w:sz w:val="28"/>
        </w:rPr>
        <w:t>
      набор реагентов, предназначенный для анализа генов, ассоциированных с колоректальным раком, раком желудка, раком поджелудочной железы, раком молочной железы, раком яичников, опухолями щитовидной железы и эндокринной системы, для оценки генетической предрасположенности к этим заболеваниям;</w:t>
      </w:r>
    </w:p>
    <w:bookmarkEnd w:id="126"/>
    <w:bookmarkStart w:name="z134" w:id="127"/>
    <w:p>
      <w:pPr>
        <w:spacing w:after="0"/>
        <w:ind w:left="0"/>
        <w:jc w:val="both"/>
      </w:pPr>
      <w:r>
        <w:rPr>
          <w:rFonts w:ascii="Times New Roman"/>
          <w:b w:val="false"/>
          <w:i w:val="false"/>
          <w:color w:val="000000"/>
          <w:sz w:val="28"/>
        </w:rPr>
        <w:t xml:space="preserve">
      набор реагентов для количественного определения циркулирующих опухолевых клеток эпителиального происхождения в цельной крови для мониторинга пациентов с метастатическим раком молочной железы, колоректальным раком или раком предстательной железы. </w:t>
      </w:r>
    </w:p>
    <w:bookmarkEnd w:id="127"/>
    <w:bookmarkStart w:name="z135" w:id="128"/>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подпунктом "ж"</w:t>
      </w:r>
      <w:r>
        <w:rPr>
          <w:rFonts w:ascii="Times New Roman"/>
          <w:b w:val="false"/>
          <w:i w:val="false"/>
          <w:color w:val="000000"/>
          <w:sz w:val="28"/>
        </w:rPr>
        <w:t xml:space="preserve"> пункта 37 Правил классификации медицинские изделия, предназначенные для генетического тестирования, относятся к классу 2б.</w:t>
      </w:r>
    </w:p>
    <w:bookmarkEnd w:id="128"/>
    <w:bookmarkStart w:name="z136" w:id="129"/>
    <w:p>
      <w:pPr>
        <w:spacing w:after="0"/>
        <w:ind w:left="0"/>
        <w:jc w:val="both"/>
      </w:pPr>
      <w:r>
        <w:rPr>
          <w:rFonts w:ascii="Times New Roman"/>
          <w:b w:val="false"/>
          <w:i w:val="false"/>
          <w:color w:val="000000"/>
          <w:sz w:val="28"/>
        </w:rPr>
        <w:t>
      Подпункт "ж" пункта 37 Правил классификации следует применять в отношении медицинских изделий, предназначенных для генетического тестирования человека, включающего обнаружение специфических аллелей, мутаций, генотипов, кариотипов или эпигенетических изменений, связанных с наследственными признаками, заболеваниями или предрасположенностью к заболеваниям у индивидуума или его потомков.</w:t>
      </w:r>
    </w:p>
    <w:bookmarkEnd w:id="129"/>
    <w:bookmarkStart w:name="z137" w:id="130"/>
    <w:p>
      <w:pPr>
        <w:spacing w:after="0"/>
        <w:ind w:left="0"/>
        <w:jc w:val="both"/>
      </w:pPr>
      <w:r>
        <w:rPr>
          <w:rFonts w:ascii="Times New Roman"/>
          <w:b w:val="false"/>
          <w:i w:val="false"/>
          <w:color w:val="000000"/>
          <w:sz w:val="28"/>
        </w:rPr>
        <w:t>
      Для генетического тестирования можно использовать несколько методов, например:</w:t>
      </w:r>
    </w:p>
    <w:bookmarkEnd w:id="130"/>
    <w:bookmarkStart w:name="z138" w:id="131"/>
    <w:p>
      <w:pPr>
        <w:spacing w:after="0"/>
        <w:ind w:left="0"/>
        <w:jc w:val="both"/>
      </w:pPr>
      <w:r>
        <w:rPr>
          <w:rFonts w:ascii="Times New Roman"/>
          <w:b w:val="false"/>
          <w:i w:val="false"/>
          <w:color w:val="000000"/>
          <w:sz w:val="28"/>
        </w:rPr>
        <w:t>
      молекулярно-генетические методы (исследуют отдельные гены или короткие фрагменты ДНК для определения их строения, вариаций или мутаций, которые приводят к генетическому заболеванию);</w:t>
      </w:r>
    </w:p>
    <w:bookmarkEnd w:id="131"/>
    <w:bookmarkStart w:name="z139" w:id="132"/>
    <w:p>
      <w:pPr>
        <w:spacing w:after="0"/>
        <w:ind w:left="0"/>
        <w:jc w:val="both"/>
      </w:pPr>
      <w:r>
        <w:rPr>
          <w:rFonts w:ascii="Times New Roman"/>
          <w:b w:val="false"/>
          <w:i w:val="false"/>
          <w:color w:val="000000"/>
          <w:sz w:val="28"/>
        </w:rPr>
        <w:t>
      хромосомные генетические методы (исследуют целые хромосомы или длинные фрагменты ДНК для определения больших генетических изменений, такие как дополнительная копия хромосомы, которая вызывает генетическое заболевание).</w:t>
      </w:r>
    </w:p>
    <w:bookmarkEnd w:id="132"/>
    <w:bookmarkStart w:name="z140" w:id="133"/>
    <w:p>
      <w:pPr>
        <w:spacing w:after="0"/>
        <w:ind w:left="0"/>
        <w:jc w:val="both"/>
      </w:pPr>
      <w:r>
        <w:rPr>
          <w:rFonts w:ascii="Times New Roman"/>
          <w:b w:val="false"/>
          <w:i w:val="false"/>
          <w:color w:val="000000"/>
          <w:sz w:val="28"/>
        </w:rPr>
        <w:t>
      Результаты генетического исследования могут предоставить информацию о медицинском статусе, подтвердить или исключить предполагаемое генетическое заболевание или определить вероятность развития или передачи генетического заболевания у человека.</w:t>
      </w:r>
    </w:p>
    <w:bookmarkEnd w:id="133"/>
    <w:bookmarkStart w:name="z141" w:id="134"/>
    <w:p>
      <w:pPr>
        <w:spacing w:after="0"/>
        <w:ind w:left="0"/>
        <w:jc w:val="both"/>
      </w:pPr>
      <w:r>
        <w:rPr>
          <w:rFonts w:ascii="Times New Roman"/>
          <w:b w:val="false"/>
          <w:i w:val="false"/>
          <w:color w:val="000000"/>
          <w:sz w:val="28"/>
        </w:rPr>
        <w:t xml:space="preserve">
      Примерами медицинских изделий, относящихся к подпункту "ж" пункта 37 Правил классификации, могут являться медицинские изделия, имеющие следующее назначение: </w:t>
      </w:r>
    </w:p>
    <w:bookmarkEnd w:id="134"/>
    <w:bookmarkStart w:name="z142" w:id="135"/>
    <w:p>
      <w:pPr>
        <w:spacing w:after="0"/>
        <w:ind w:left="0"/>
        <w:jc w:val="both"/>
      </w:pPr>
      <w:r>
        <w:rPr>
          <w:rFonts w:ascii="Times New Roman"/>
          <w:b w:val="false"/>
          <w:i w:val="false"/>
          <w:color w:val="000000"/>
          <w:sz w:val="28"/>
        </w:rPr>
        <w:t>
      скрининг новорожденных – проводится для выявления генетических нарушений, представляющих угрозу жизни и здоровью пациента. Такое раннее обнаружение позволяет немедленно начать лечение, что может уменьшить или устранить последствия заболевания;</w:t>
      </w:r>
    </w:p>
    <w:bookmarkEnd w:id="135"/>
    <w:bookmarkStart w:name="z143" w:id="136"/>
    <w:p>
      <w:pPr>
        <w:spacing w:after="0"/>
        <w:ind w:left="0"/>
        <w:jc w:val="both"/>
      </w:pPr>
      <w:r>
        <w:rPr>
          <w:rFonts w:ascii="Times New Roman"/>
          <w:b w:val="false"/>
          <w:i w:val="false"/>
          <w:color w:val="000000"/>
          <w:sz w:val="28"/>
        </w:rPr>
        <w:t>
      диагностическое исследование – используется для выявления или исключения определенного генетического или хромосомного нарушения;</w:t>
      </w:r>
    </w:p>
    <w:bookmarkEnd w:id="136"/>
    <w:bookmarkStart w:name="z144" w:id="137"/>
    <w:p>
      <w:pPr>
        <w:spacing w:after="0"/>
        <w:ind w:left="0"/>
        <w:jc w:val="both"/>
      </w:pPr>
      <w:r>
        <w:rPr>
          <w:rFonts w:ascii="Times New Roman"/>
          <w:b w:val="false"/>
          <w:i w:val="false"/>
          <w:color w:val="000000"/>
          <w:sz w:val="28"/>
        </w:rPr>
        <w:t>
      исследование для выявления пациентов, являющихся носителями одной копии генной мутации, которая может привести к генетическому заболеванию у потомства;</w:t>
      </w:r>
    </w:p>
    <w:bookmarkEnd w:id="137"/>
    <w:bookmarkStart w:name="z145" w:id="138"/>
    <w:p>
      <w:pPr>
        <w:spacing w:after="0"/>
        <w:ind w:left="0"/>
        <w:jc w:val="both"/>
      </w:pPr>
      <w:r>
        <w:rPr>
          <w:rFonts w:ascii="Times New Roman"/>
          <w:b w:val="false"/>
          <w:i w:val="false"/>
          <w:color w:val="000000"/>
          <w:sz w:val="28"/>
        </w:rPr>
        <w:t>
      пренатальное исследование – используется для выявления изменений в генах или хромосомах плода до рождения;</w:t>
      </w:r>
    </w:p>
    <w:bookmarkEnd w:id="138"/>
    <w:bookmarkStart w:name="z146" w:id="139"/>
    <w:p>
      <w:pPr>
        <w:spacing w:after="0"/>
        <w:ind w:left="0"/>
        <w:jc w:val="both"/>
      </w:pPr>
      <w:r>
        <w:rPr>
          <w:rFonts w:ascii="Times New Roman"/>
          <w:b w:val="false"/>
          <w:i w:val="false"/>
          <w:color w:val="000000"/>
          <w:sz w:val="28"/>
        </w:rPr>
        <w:t>
      преимплантационное исследование – используется для выявления генетических изменений в эмбрионах, полученных в результате экстракорпорального оплодотворения;</w:t>
      </w:r>
    </w:p>
    <w:bookmarkEnd w:id="139"/>
    <w:bookmarkStart w:name="z147" w:id="140"/>
    <w:p>
      <w:pPr>
        <w:spacing w:after="0"/>
        <w:ind w:left="0"/>
        <w:jc w:val="both"/>
      </w:pPr>
      <w:r>
        <w:rPr>
          <w:rFonts w:ascii="Times New Roman"/>
          <w:b w:val="false"/>
          <w:i w:val="false"/>
          <w:color w:val="000000"/>
          <w:sz w:val="28"/>
        </w:rPr>
        <w:t xml:space="preserve">
      прогностическое исследование – используется для выявления генных мутаций, связанных с нарушениями, которые проявляются после рождения, часто в более позднем возрасте. Прогностическое исследование может выявить мутации, повышающие риск развития заболеваний у человека. </w:t>
      </w:r>
    </w:p>
    <w:bookmarkEnd w:id="140"/>
    <w:bookmarkStart w:name="z148" w:id="141"/>
    <w:p>
      <w:pPr>
        <w:spacing w:after="0"/>
        <w:ind w:left="0"/>
        <w:jc w:val="both"/>
      </w:pPr>
      <w:r>
        <w:rPr>
          <w:rFonts w:ascii="Times New Roman"/>
          <w:b w:val="false"/>
          <w:i w:val="false"/>
          <w:color w:val="000000"/>
          <w:sz w:val="28"/>
        </w:rPr>
        <w:t>
      Примерами таких медицинских изделий могут являться медицинские изделия, предназначенные для выявления:</w:t>
      </w:r>
    </w:p>
    <w:bookmarkEnd w:id="141"/>
    <w:bookmarkStart w:name="z149" w:id="142"/>
    <w:p>
      <w:pPr>
        <w:spacing w:after="0"/>
        <w:ind w:left="0"/>
        <w:jc w:val="both"/>
      </w:pPr>
      <w:r>
        <w:rPr>
          <w:rFonts w:ascii="Times New Roman"/>
          <w:b w:val="false"/>
          <w:i w:val="false"/>
          <w:color w:val="000000"/>
          <w:sz w:val="28"/>
        </w:rPr>
        <w:t>
      хромосомных нарушений, например, трисомии 21, трисомии 18, трисомии по X-хромосоме;</w:t>
      </w:r>
    </w:p>
    <w:bookmarkEnd w:id="142"/>
    <w:bookmarkStart w:name="z150" w:id="143"/>
    <w:p>
      <w:pPr>
        <w:spacing w:after="0"/>
        <w:ind w:left="0"/>
        <w:jc w:val="both"/>
      </w:pPr>
      <w:r>
        <w:rPr>
          <w:rFonts w:ascii="Times New Roman"/>
          <w:b w:val="false"/>
          <w:i w:val="false"/>
          <w:color w:val="000000"/>
          <w:sz w:val="28"/>
        </w:rPr>
        <w:t>
      нарушений в генах, связанных с тромбофилией, например, генов, кодирующих фактор V и протромбин;</w:t>
      </w:r>
    </w:p>
    <w:bookmarkEnd w:id="143"/>
    <w:bookmarkStart w:name="z151" w:id="144"/>
    <w:p>
      <w:pPr>
        <w:spacing w:after="0"/>
        <w:ind w:left="0"/>
        <w:jc w:val="both"/>
      </w:pPr>
      <w:r>
        <w:rPr>
          <w:rFonts w:ascii="Times New Roman"/>
          <w:b w:val="false"/>
          <w:i w:val="false"/>
          <w:color w:val="000000"/>
          <w:sz w:val="28"/>
        </w:rPr>
        <w:t>
      генетических факторов риска, например, ревматоидного артрита (HLA DRB1), анкилозирующего спондилоартрита (HLA B27), остеоартрита, пресенилиновой мутации;</w:t>
      </w:r>
    </w:p>
    <w:bookmarkEnd w:id="144"/>
    <w:bookmarkStart w:name="z152" w:id="145"/>
    <w:p>
      <w:pPr>
        <w:spacing w:after="0"/>
        <w:ind w:left="0"/>
        <w:jc w:val="both"/>
      </w:pPr>
      <w:r>
        <w:rPr>
          <w:rFonts w:ascii="Times New Roman"/>
          <w:b w:val="false"/>
          <w:i w:val="false"/>
          <w:color w:val="000000"/>
          <w:sz w:val="28"/>
        </w:rPr>
        <w:t>
      моногенетических расстройств, например, гемохроматоза, болезни Хантингтона, муковисцидоза;</w:t>
      </w:r>
    </w:p>
    <w:bookmarkEnd w:id="145"/>
    <w:bookmarkStart w:name="z153" w:id="146"/>
    <w:p>
      <w:pPr>
        <w:spacing w:after="0"/>
        <w:ind w:left="0"/>
        <w:jc w:val="both"/>
      </w:pPr>
      <w:r>
        <w:rPr>
          <w:rFonts w:ascii="Times New Roman"/>
          <w:b w:val="false"/>
          <w:i w:val="false"/>
          <w:color w:val="000000"/>
          <w:sz w:val="28"/>
        </w:rPr>
        <w:t>
      XY расстройств, например, гемофилии, мышечной дистрофии Дюшенна, синдрома ломкой X-хромосомы (Fragile X).</w:t>
      </w:r>
    </w:p>
    <w:bookmarkEnd w:id="146"/>
    <w:bookmarkStart w:name="z154" w:id="147"/>
    <w:p>
      <w:pPr>
        <w:spacing w:after="0"/>
        <w:ind w:left="0"/>
        <w:jc w:val="both"/>
      </w:pPr>
      <w:r>
        <w:rPr>
          <w:rFonts w:ascii="Times New Roman"/>
          <w:b w:val="false"/>
          <w:i w:val="false"/>
          <w:color w:val="000000"/>
          <w:sz w:val="28"/>
        </w:rPr>
        <w:t>
      Также примерами могут являться медицинские изделия для фармакогеномных (фармакогенетических) исследований, например, для определения активности ферментов печени CYP2C9 и CYP2C19 для фармакокинетики лекарственных препаратов.</w:t>
      </w:r>
    </w:p>
    <w:bookmarkEnd w:id="147"/>
    <w:bookmarkStart w:name="z155" w:id="148"/>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подпунктом "з"</w:t>
      </w:r>
      <w:r>
        <w:rPr>
          <w:rFonts w:ascii="Times New Roman"/>
          <w:b w:val="false"/>
          <w:i w:val="false"/>
          <w:color w:val="000000"/>
          <w:sz w:val="28"/>
        </w:rPr>
        <w:t xml:space="preserve"> пункта 37 Правил классификации медицинские изделия, предназначенные для контроля уровней лекарств, веществ или биологических компонентов при наличии риска того, что неверный результат приведет к терапевтическому решению, вызывающему возникновение опасной ситуации для жизни пациента или его потомства, относятся к классу 2б.</w:t>
      </w:r>
    </w:p>
    <w:bookmarkEnd w:id="148"/>
    <w:bookmarkStart w:name="z156" w:id="149"/>
    <w:p>
      <w:pPr>
        <w:spacing w:after="0"/>
        <w:ind w:left="0"/>
        <w:jc w:val="both"/>
      </w:pPr>
      <w:r>
        <w:rPr>
          <w:rFonts w:ascii="Times New Roman"/>
          <w:b w:val="false"/>
          <w:i w:val="false"/>
          <w:color w:val="000000"/>
          <w:sz w:val="28"/>
        </w:rPr>
        <w:t>
      Подпункт "з" пункта 37 Правил классификации следует применять в отношении медицинских изделий, предназначенных для мониторинга уровня аналитов с целью контроля за лечением, в том числе корректировки ведения пациента по мере необходимости.</w:t>
      </w:r>
    </w:p>
    <w:bookmarkEnd w:id="149"/>
    <w:bookmarkStart w:name="z157" w:id="150"/>
    <w:p>
      <w:pPr>
        <w:spacing w:after="0"/>
        <w:ind w:left="0"/>
        <w:jc w:val="both"/>
      </w:pPr>
      <w:r>
        <w:rPr>
          <w:rFonts w:ascii="Times New Roman"/>
          <w:b w:val="false"/>
          <w:i w:val="false"/>
          <w:color w:val="000000"/>
          <w:sz w:val="28"/>
        </w:rPr>
        <w:t>
      Такие медицинские изделия могут быть предназначены для оценки текущего состояния человека и (или) изменений в его состоянии, которая достигается повторными или многократными определениями анализируемого вещества с течением времени через соответствующие промежутки времени, а также для определения того, соответствуют ли результаты ожидаемым, для выявления (оценки) прогрессирования (регрессии) заболевания, рецидива заболевания, ответа (резистентности) к терапии и (или) побочных эффектов, вызванных терапией.</w:t>
      </w:r>
    </w:p>
    <w:bookmarkEnd w:id="150"/>
    <w:bookmarkStart w:name="z158" w:id="151"/>
    <w:p>
      <w:pPr>
        <w:spacing w:after="0"/>
        <w:ind w:left="0"/>
        <w:jc w:val="both"/>
      </w:pPr>
      <w:r>
        <w:rPr>
          <w:rFonts w:ascii="Times New Roman"/>
          <w:b w:val="false"/>
          <w:i w:val="false"/>
          <w:color w:val="000000"/>
          <w:sz w:val="28"/>
        </w:rPr>
        <w:t>
      Подпункт "з" пункта 37 Правил классификации не применяется к медицинским изделиям, предназначенным для диагностики или скрининга состояния, когда для этой цели требуется проведение только одного измерения, но применяется к лабораторным исследованиям, в которых предполагается проводить множественные последовательные измерения во времени и где ошибочный результат может привести к опасной для жизни ситуации для пациента или его потомства, например, при мониторинге изменения концентрации аналита с течением времени.</w:t>
      </w:r>
    </w:p>
    <w:bookmarkEnd w:id="151"/>
    <w:bookmarkStart w:name="z159" w:id="152"/>
    <w:p>
      <w:pPr>
        <w:spacing w:after="0"/>
        <w:ind w:left="0"/>
        <w:jc w:val="both"/>
      </w:pPr>
      <w:r>
        <w:rPr>
          <w:rFonts w:ascii="Times New Roman"/>
          <w:b w:val="false"/>
          <w:i w:val="false"/>
          <w:color w:val="000000"/>
          <w:sz w:val="28"/>
        </w:rPr>
        <w:t>
      Аналиты, измеряемые данным типом медицинских изделий, могут быть лекарственными препаратами, химическими веществами или биологическими веществами, компонентами (например, антитела, эндогенные маркеры, тромбоциты и т. д.).</w:t>
      </w:r>
    </w:p>
    <w:bookmarkEnd w:id="152"/>
    <w:bookmarkStart w:name="z160" w:id="153"/>
    <w:p>
      <w:pPr>
        <w:spacing w:after="0"/>
        <w:ind w:left="0"/>
        <w:jc w:val="both"/>
      </w:pPr>
      <w:r>
        <w:rPr>
          <w:rFonts w:ascii="Times New Roman"/>
          <w:b w:val="false"/>
          <w:i w:val="false"/>
          <w:color w:val="000000"/>
          <w:sz w:val="28"/>
        </w:rPr>
        <w:t>
      Если медицинское изделие предназначено для определенной целевой группы (например, дети, беременные женщины, лица с ослабленным иммунитетом и т. д.), то следует учитывать риск для этой конкретной группы.</w:t>
      </w:r>
    </w:p>
    <w:bookmarkEnd w:id="153"/>
    <w:bookmarkStart w:name="z161" w:id="154"/>
    <w:p>
      <w:pPr>
        <w:spacing w:after="0"/>
        <w:ind w:left="0"/>
        <w:jc w:val="both"/>
      </w:pPr>
      <w:r>
        <w:rPr>
          <w:rFonts w:ascii="Times New Roman"/>
          <w:b w:val="false"/>
          <w:i w:val="false"/>
          <w:color w:val="000000"/>
          <w:sz w:val="28"/>
        </w:rPr>
        <w:t xml:space="preserve">
      Примерами медицинских изделий, относящихся к </w:t>
      </w:r>
      <w:r>
        <w:rPr>
          <w:rFonts w:ascii="Times New Roman"/>
          <w:b w:val="false"/>
          <w:i w:val="false"/>
          <w:color w:val="000000"/>
          <w:sz w:val="28"/>
        </w:rPr>
        <w:t>подпункту "з"</w:t>
      </w:r>
      <w:r>
        <w:rPr>
          <w:rFonts w:ascii="Times New Roman"/>
          <w:b w:val="false"/>
          <w:i w:val="false"/>
          <w:color w:val="000000"/>
          <w:sz w:val="28"/>
        </w:rPr>
        <w:t xml:space="preserve"> пункта 37 Правил классификации, могут являться медицинские изделия, предназначенные для мониторинга:</w:t>
      </w:r>
    </w:p>
    <w:bookmarkEnd w:id="154"/>
    <w:bookmarkStart w:name="z162" w:id="155"/>
    <w:p>
      <w:pPr>
        <w:spacing w:after="0"/>
        <w:ind w:left="0"/>
        <w:jc w:val="both"/>
      </w:pPr>
      <w:r>
        <w:rPr>
          <w:rFonts w:ascii="Times New Roman"/>
          <w:b w:val="false"/>
          <w:i w:val="false"/>
          <w:color w:val="000000"/>
          <w:sz w:val="28"/>
        </w:rPr>
        <w:t>
      уровня сердечных маркеров для пациентов с острым течением болезни: тропонина I, тропонина T, КK-MB (при назначении для мониторинга повреждения сердечной мышцы);</w:t>
      </w:r>
    </w:p>
    <w:bookmarkEnd w:id="155"/>
    <w:bookmarkStart w:name="z163" w:id="156"/>
    <w:p>
      <w:pPr>
        <w:spacing w:after="0"/>
        <w:ind w:left="0"/>
        <w:jc w:val="both"/>
      </w:pPr>
      <w:r>
        <w:rPr>
          <w:rFonts w:ascii="Times New Roman"/>
          <w:b w:val="false"/>
          <w:i w:val="false"/>
          <w:color w:val="000000"/>
          <w:sz w:val="28"/>
        </w:rPr>
        <w:t>
      уровня кортизола (например, для пациентов с недостаточностью кортизола);</w:t>
      </w:r>
    </w:p>
    <w:bookmarkEnd w:id="156"/>
    <w:bookmarkStart w:name="z164" w:id="157"/>
    <w:p>
      <w:pPr>
        <w:spacing w:after="0"/>
        <w:ind w:left="0"/>
        <w:jc w:val="both"/>
      </w:pPr>
      <w:r>
        <w:rPr>
          <w:rFonts w:ascii="Times New Roman"/>
          <w:b w:val="false"/>
          <w:i w:val="false"/>
          <w:color w:val="000000"/>
          <w:sz w:val="28"/>
        </w:rPr>
        <w:t>
      ПВ/АЧТВ, предназначенных для оценки больших кровотечений в острых случаях или у пациентов с острой коагулопатией или для мониторинга кумадина у пациентов без диагностированного нарушения свертывания крови;</w:t>
      </w:r>
    </w:p>
    <w:bookmarkEnd w:id="157"/>
    <w:bookmarkStart w:name="z165" w:id="158"/>
    <w:p>
      <w:pPr>
        <w:spacing w:after="0"/>
        <w:ind w:left="0"/>
        <w:jc w:val="both"/>
      </w:pPr>
      <w:r>
        <w:rPr>
          <w:rFonts w:ascii="Times New Roman"/>
          <w:b w:val="false"/>
          <w:i w:val="false"/>
          <w:color w:val="000000"/>
          <w:sz w:val="28"/>
        </w:rPr>
        <w:t>
      концентрации лития для пациентов, проходящих лечение от биполярных расстройств;</w:t>
      </w:r>
    </w:p>
    <w:bookmarkEnd w:id="158"/>
    <w:bookmarkStart w:name="z166" w:id="159"/>
    <w:p>
      <w:pPr>
        <w:spacing w:after="0"/>
        <w:ind w:left="0"/>
        <w:jc w:val="both"/>
      </w:pPr>
      <w:r>
        <w:rPr>
          <w:rFonts w:ascii="Times New Roman"/>
          <w:b w:val="false"/>
          <w:i w:val="false"/>
          <w:color w:val="000000"/>
          <w:sz w:val="28"/>
        </w:rPr>
        <w:t>
      уровня метотрексата при лечении таких состояний, не угрожающих жизни, как васкулит, ревматоидный артрит и псориатический артрит;</w:t>
      </w:r>
    </w:p>
    <w:bookmarkEnd w:id="159"/>
    <w:bookmarkStart w:name="z167" w:id="160"/>
    <w:p>
      <w:pPr>
        <w:spacing w:after="0"/>
        <w:ind w:left="0"/>
        <w:jc w:val="both"/>
      </w:pPr>
      <w:r>
        <w:rPr>
          <w:rFonts w:ascii="Times New Roman"/>
          <w:b w:val="false"/>
          <w:i w:val="false"/>
          <w:color w:val="000000"/>
          <w:sz w:val="28"/>
        </w:rPr>
        <w:t>
      концентрации иммуносупрессивных лекарственных средств, например, циклоспорина, сиролимуса, такролимуса;</w:t>
      </w:r>
    </w:p>
    <w:bookmarkEnd w:id="160"/>
    <w:bookmarkStart w:name="z168" w:id="161"/>
    <w:p>
      <w:pPr>
        <w:spacing w:after="0"/>
        <w:ind w:left="0"/>
        <w:jc w:val="both"/>
      </w:pPr>
      <w:r>
        <w:rPr>
          <w:rFonts w:ascii="Times New Roman"/>
          <w:b w:val="false"/>
          <w:i w:val="false"/>
          <w:color w:val="000000"/>
          <w:sz w:val="28"/>
        </w:rPr>
        <w:t>
      концентрации антибиотика, недостаточный или чрезмерный прием которого может оказать серьезное влияние на человека или потомство (например, гентамицин);</w:t>
      </w:r>
    </w:p>
    <w:bookmarkEnd w:id="161"/>
    <w:bookmarkStart w:name="z169" w:id="162"/>
    <w:p>
      <w:pPr>
        <w:spacing w:after="0"/>
        <w:ind w:left="0"/>
        <w:jc w:val="both"/>
      </w:pPr>
      <w:r>
        <w:rPr>
          <w:rFonts w:ascii="Times New Roman"/>
          <w:b w:val="false"/>
          <w:i w:val="false"/>
          <w:color w:val="000000"/>
          <w:sz w:val="28"/>
        </w:rPr>
        <w:t>
      уровня анти-RhD-антител у беременных женщин, которым дополнительно вводили анти-D.</w:t>
      </w:r>
    </w:p>
    <w:bookmarkEnd w:id="162"/>
    <w:bookmarkStart w:name="z170" w:id="163"/>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подпунктом "и"</w:t>
      </w:r>
      <w:r>
        <w:rPr>
          <w:rFonts w:ascii="Times New Roman"/>
          <w:b w:val="false"/>
          <w:i w:val="false"/>
          <w:color w:val="000000"/>
          <w:sz w:val="28"/>
        </w:rPr>
        <w:t xml:space="preserve"> пункта 37 Правил классификации медицинские изделия, предназначенные для оценки состояния пациентов, страдающих угрожающими жизни состояниями или заболеваниями, относятся к классу 2б.</w:t>
      </w:r>
    </w:p>
    <w:bookmarkEnd w:id="163"/>
    <w:bookmarkStart w:name="z171" w:id="164"/>
    <w:p>
      <w:pPr>
        <w:spacing w:after="0"/>
        <w:ind w:left="0"/>
        <w:jc w:val="both"/>
      </w:pPr>
      <w:r>
        <w:rPr>
          <w:rFonts w:ascii="Times New Roman"/>
          <w:b w:val="false"/>
          <w:i w:val="false"/>
          <w:color w:val="000000"/>
          <w:sz w:val="28"/>
        </w:rPr>
        <w:t>
      Подпункт "и" пункта 37 Правил классификации следует применять в отношении медицинских изделий, предназначенных для пациентов с диагностированными опасными для жизни заболеваниями или состояниями.</w:t>
      </w:r>
    </w:p>
    <w:bookmarkEnd w:id="164"/>
    <w:bookmarkStart w:name="z172" w:id="165"/>
    <w:p>
      <w:pPr>
        <w:spacing w:after="0"/>
        <w:ind w:left="0"/>
        <w:jc w:val="both"/>
      </w:pPr>
      <w:r>
        <w:rPr>
          <w:rFonts w:ascii="Times New Roman"/>
          <w:b w:val="false"/>
          <w:i w:val="false"/>
          <w:color w:val="000000"/>
          <w:sz w:val="28"/>
        </w:rPr>
        <w:t>
      Медицинские изделия обеспечивают критическую или единственную детерминанту для правильного решения о ведении пациента и предоставляют информацию для лечения по мере необходимости.</w:t>
      </w:r>
    </w:p>
    <w:bookmarkEnd w:id="165"/>
    <w:bookmarkStart w:name="z173" w:id="166"/>
    <w:p>
      <w:pPr>
        <w:spacing w:after="0"/>
        <w:ind w:left="0"/>
        <w:jc w:val="both"/>
      </w:pPr>
      <w:r>
        <w:rPr>
          <w:rFonts w:ascii="Times New Roman"/>
          <w:b w:val="false"/>
          <w:i w:val="false"/>
          <w:color w:val="000000"/>
          <w:sz w:val="28"/>
        </w:rPr>
        <w:t>
      К данным изделиям относятся медицинские изделия, предназначенные для обнаружения устойчивых к лекарственным препаратам патогенов, связанных с опасным для жизни состоянием (например, сепсисом, некрозом кожи или тканей), непосредственно из образцов биологического материала человека для принятия решения о ведении пациента.</w:t>
      </w:r>
    </w:p>
    <w:bookmarkEnd w:id="166"/>
    <w:bookmarkStart w:name="z174" w:id="167"/>
    <w:p>
      <w:pPr>
        <w:spacing w:after="0"/>
        <w:ind w:left="0"/>
        <w:jc w:val="both"/>
      </w:pPr>
      <w:r>
        <w:rPr>
          <w:rFonts w:ascii="Times New Roman"/>
          <w:b w:val="false"/>
          <w:i w:val="false"/>
          <w:color w:val="000000"/>
          <w:sz w:val="28"/>
        </w:rPr>
        <w:t>
      Подпункт "и" пункта 37 Правил классификации не применяется к медицинским изделиям, используемым в сочетании с методами микробиологического культивирования, которые предназначены только для проверки лекарственной устойчивости уже обнаруженного патогена, включая реагенты для определения чувствительности к лекарственным средствам (например, диски или панели минимальной ингибирующей концентрации), если такие изделия не предназначены для выбора терапии для пациентов, страдающих угрожающими жизни состояниями или заболеваниями.</w:t>
      </w:r>
    </w:p>
    <w:bookmarkEnd w:id="167"/>
    <w:bookmarkStart w:name="z175" w:id="168"/>
    <w:p>
      <w:pPr>
        <w:spacing w:after="0"/>
        <w:ind w:left="0"/>
        <w:jc w:val="both"/>
      </w:pPr>
      <w:r>
        <w:rPr>
          <w:rFonts w:ascii="Times New Roman"/>
          <w:b w:val="false"/>
          <w:i w:val="false"/>
          <w:color w:val="000000"/>
          <w:sz w:val="28"/>
        </w:rPr>
        <w:t xml:space="preserve">
      Примерами медицинских изделий, относящихся к </w:t>
      </w:r>
      <w:r>
        <w:rPr>
          <w:rFonts w:ascii="Times New Roman"/>
          <w:b w:val="false"/>
          <w:i w:val="false"/>
          <w:color w:val="000000"/>
          <w:sz w:val="28"/>
        </w:rPr>
        <w:t>подпункту "и"</w:t>
      </w:r>
      <w:r>
        <w:rPr>
          <w:rFonts w:ascii="Times New Roman"/>
          <w:b w:val="false"/>
          <w:i w:val="false"/>
          <w:color w:val="000000"/>
          <w:sz w:val="28"/>
        </w:rPr>
        <w:t xml:space="preserve"> пункта 37 Правил классификации, могут являться:</w:t>
      </w:r>
    </w:p>
    <w:bookmarkEnd w:id="168"/>
    <w:bookmarkStart w:name="z176" w:id="169"/>
    <w:p>
      <w:pPr>
        <w:spacing w:after="0"/>
        <w:ind w:left="0"/>
        <w:jc w:val="both"/>
      </w:pPr>
      <w:r>
        <w:rPr>
          <w:rFonts w:ascii="Times New Roman"/>
          <w:b w:val="false"/>
          <w:i w:val="false"/>
          <w:color w:val="000000"/>
          <w:sz w:val="28"/>
        </w:rPr>
        <w:t>
      медицинские изделия для подсчета CD4 Т-лимфоцитов у ВИЧ-инфицированных пациентов для начала лечения и определения ответа на противовирусную терапию;</w:t>
      </w:r>
    </w:p>
    <w:bookmarkEnd w:id="169"/>
    <w:bookmarkStart w:name="z177" w:id="170"/>
    <w:p>
      <w:pPr>
        <w:spacing w:after="0"/>
        <w:ind w:left="0"/>
        <w:jc w:val="both"/>
      </w:pPr>
      <w:r>
        <w:rPr>
          <w:rFonts w:ascii="Times New Roman"/>
          <w:b w:val="false"/>
          <w:i w:val="false"/>
          <w:color w:val="000000"/>
          <w:sz w:val="28"/>
        </w:rPr>
        <w:t>
      медицинские изделия для измерения D-димеров у пациентов с тромботическими нарушениями;</w:t>
      </w:r>
    </w:p>
    <w:bookmarkEnd w:id="170"/>
    <w:bookmarkStart w:name="z178" w:id="171"/>
    <w:p>
      <w:pPr>
        <w:spacing w:after="0"/>
        <w:ind w:left="0"/>
        <w:jc w:val="both"/>
      </w:pPr>
      <w:r>
        <w:rPr>
          <w:rFonts w:ascii="Times New Roman"/>
          <w:b w:val="false"/>
          <w:i w:val="false"/>
          <w:color w:val="000000"/>
          <w:sz w:val="28"/>
        </w:rPr>
        <w:t xml:space="preserve">
      набор реагентов для количественного определения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гликированного гемоглобина (HbA1c) или уровня глюкозы в крови, используемые при лечении пациентов с диабетом;</w:t>
      </w:r>
    </w:p>
    <w:bookmarkEnd w:id="171"/>
    <w:bookmarkStart w:name="z179" w:id="172"/>
    <w:p>
      <w:pPr>
        <w:spacing w:after="0"/>
        <w:ind w:left="0"/>
        <w:jc w:val="both"/>
      </w:pPr>
      <w:r>
        <w:rPr>
          <w:rFonts w:ascii="Times New Roman"/>
          <w:b w:val="false"/>
          <w:i w:val="false"/>
          <w:color w:val="000000"/>
          <w:sz w:val="28"/>
        </w:rPr>
        <w:t>
      медицинские изделия для мониторинга антикоагулянтной терапии (например, протромбинового времени или МНО (варфарина), АЧТВ (нефракционированного гепарина); анти-Ха хромогенные анализы (низкомолекулярный гепарин (НМГ), фондапаринукс, ривароксабан и апиксабан), анти-IIа хромогенные анализы и анализы на основе сгустка (аргатробан, бивалирудин, гирудин и дабигатран));</w:t>
      </w:r>
    </w:p>
    <w:bookmarkEnd w:id="172"/>
    <w:bookmarkStart w:name="z180" w:id="173"/>
    <w:p>
      <w:pPr>
        <w:spacing w:after="0"/>
        <w:ind w:left="0"/>
        <w:jc w:val="both"/>
      </w:pPr>
      <w:r>
        <w:rPr>
          <w:rFonts w:ascii="Times New Roman"/>
          <w:b w:val="false"/>
          <w:i w:val="false"/>
          <w:color w:val="000000"/>
          <w:sz w:val="28"/>
        </w:rPr>
        <w:t>
      медицинские изделия для мониторинга концентрации дигоксина;</w:t>
      </w:r>
    </w:p>
    <w:bookmarkEnd w:id="173"/>
    <w:bookmarkStart w:name="z181" w:id="174"/>
    <w:p>
      <w:pPr>
        <w:spacing w:after="0"/>
        <w:ind w:left="0"/>
        <w:jc w:val="both"/>
      </w:pPr>
      <w:r>
        <w:rPr>
          <w:rFonts w:ascii="Times New Roman"/>
          <w:b w:val="false"/>
          <w:i w:val="false"/>
          <w:color w:val="000000"/>
          <w:sz w:val="28"/>
        </w:rPr>
        <w:t>
      медицинские изделия для исследования на устойчивость к антиретровирусным препаратам у ВИЧ-инфицированных пациентов.</w:t>
      </w:r>
    </w:p>
    <w:bookmarkEnd w:id="174"/>
    <w:bookmarkStart w:name="z182" w:id="175"/>
    <w:p>
      <w:pPr>
        <w:spacing w:after="0"/>
        <w:ind w:left="0"/>
        <w:jc w:val="both"/>
      </w:pPr>
      <w:r>
        <w:rPr>
          <w:rFonts w:ascii="Times New Roman"/>
          <w:b w:val="false"/>
          <w:i w:val="false"/>
          <w:color w:val="000000"/>
          <w:sz w:val="28"/>
        </w:rPr>
        <w:t xml:space="preserve">
      18. В соответствии с </w:t>
      </w:r>
      <w:r>
        <w:rPr>
          <w:rFonts w:ascii="Times New Roman"/>
          <w:b w:val="false"/>
          <w:i w:val="false"/>
          <w:color w:val="000000"/>
          <w:sz w:val="28"/>
        </w:rPr>
        <w:t>подпунктом "к"</w:t>
      </w:r>
      <w:r>
        <w:rPr>
          <w:rFonts w:ascii="Times New Roman"/>
          <w:b w:val="false"/>
          <w:i w:val="false"/>
          <w:color w:val="000000"/>
          <w:sz w:val="28"/>
        </w:rPr>
        <w:t xml:space="preserve"> пункта 37 Правил классификации медицинские изделия, предназначенные для скрининга врожденных болезней плода или эмбриона, относятся к классу 2б.</w:t>
      </w:r>
    </w:p>
    <w:bookmarkEnd w:id="175"/>
    <w:bookmarkStart w:name="z183" w:id="176"/>
    <w:p>
      <w:pPr>
        <w:spacing w:after="0"/>
        <w:ind w:left="0"/>
        <w:jc w:val="both"/>
      </w:pPr>
      <w:r>
        <w:rPr>
          <w:rFonts w:ascii="Times New Roman"/>
          <w:b w:val="false"/>
          <w:i w:val="false"/>
          <w:color w:val="000000"/>
          <w:sz w:val="28"/>
        </w:rPr>
        <w:t>
      Подпункт "к" пункта 37 Правил классификации следует применять в отношении медицинских изделий, предназначенных для рутинного скрининга эмбриона (плода), а также к специальному скринингу эмбриона (плода) (в семьях и группах населения, подверженных повышенному риску наследственного заболевания).</w:t>
      </w:r>
    </w:p>
    <w:bookmarkEnd w:id="176"/>
    <w:bookmarkStart w:name="z184" w:id="177"/>
    <w:p>
      <w:pPr>
        <w:spacing w:after="0"/>
        <w:ind w:left="0"/>
        <w:jc w:val="both"/>
      </w:pPr>
      <w:r>
        <w:rPr>
          <w:rFonts w:ascii="Times New Roman"/>
          <w:b w:val="false"/>
          <w:i w:val="false"/>
          <w:color w:val="000000"/>
          <w:sz w:val="28"/>
        </w:rPr>
        <w:t>
      Подпункт "к" пункта 37 Правил классификации следует применять как к преимплантационным, так и генетическим скрининговым исследованиям.</w:t>
      </w:r>
    </w:p>
    <w:bookmarkEnd w:id="177"/>
    <w:bookmarkStart w:name="z185" w:id="178"/>
    <w:p>
      <w:pPr>
        <w:spacing w:after="0"/>
        <w:ind w:left="0"/>
        <w:jc w:val="both"/>
      </w:pPr>
      <w:r>
        <w:rPr>
          <w:rFonts w:ascii="Times New Roman"/>
          <w:b w:val="false"/>
          <w:i w:val="false"/>
          <w:color w:val="000000"/>
          <w:sz w:val="28"/>
        </w:rPr>
        <w:t>
      Примерами таких медицинских изделий могут являться:</w:t>
      </w:r>
    </w:p>
    <w:bookmarkEnd w:id="178"/>
    <w:bookmarkStart w:name="z186" w:id="179"/>
    <w:p>
      <w:pPr>
        <w:spacing w:after="0"/>
        <w:ind w:left="0"/>
        <w:jc w:val="both"/>
      </w:pPr>
      <w:r>
        <w:rPr>
          <w:rFonts w:ascii="Times New Roman"/>
          <w:b w:val="false"/>
          <w:i w:val="false"/>
          <w:color w:val="000000"/>
          <w:sz w:val="28"/>
        </w:rPr>
        <w:t>
      медицинские изделия, предназначенные для скрининга анеуплоидий плода (например, трисомии 13, трисомии 18 и трисомии 21), в том числе медицинские изделия, предназначенные для измерения биохимических маркеров в сыворотке матери;</w:t>
      </w:r>
    </w:p>
    <w:bookmarkEnd w:id="179"/>
    <w:bookmarkStart w:name="z187" w:id="180"/>
    <w:p>
      <w:pPr>
        <w:spacing w:after="0"/>
        <w:ind w:left="0"/>
        <w:jc w:val="both"/>
      </w:pPr>
      <w:r>
        <w:rPr>
          <w:rFonts w:ascii="Times New Roman"/>
          <w:b w:val="false"/>
          <w:i w:val="false"/>
          <w:color w:val="000000"/>
          <w:sz w:val="28"/>
        </w:rPr>
        <w:t>
      медицинские изделия, предназначенные для оценки риска анеуплоидии плода на основе биохимических маркеров и другой информации, в частности, неинвазивных пренатальных наборов реагентов;</w:t>
      </w:r>
    </w:p>
    <w:bookmarkEnd w:id="180"/>
    <w:bookmarkStart w:name="z188" w:id="181"/>
    <w:p>
      <w:pPr>
        <w:spacing w:after="0"/>
        <w:ind w:left="0"/>
        <w:jc w:val="both"/>
      </w:pPr>
      <w:r>
        <w:rPr>
          <w:rFonts w:ascii="Times New Roman"/>
          <w:b w:val="false"/>
          <w:i w:val="false"/>
          <w:color w:val="000000"/>
          <w:sz w:val="28"/>
        </w:rPr>
        <w:t>
      медицинские изделия, предназначенные для определения пола плода по внеклеточной ДНК плода в крови матери, при врожденных пороках развития, зависящих от пола;</w:t>
      </w:r>
    </w:p>
    <w:bookmarkEnd w:id="181"/>
    <w:bookmarkStart w:name="z189" w:id="182"/>
    <w:p>
      <w:pPr>
        <w:spacing w:after="0"/>
        <w:ind w:left="0"/>
        <w:jc w:val="both"/>
      </w:pPr>
      <w:r>
        <w:rPr>
          <w:rFonts w:ascii="Times New Roman"/>
          <w:b w:val="false"/>
          <w:i w:val="false"/>
          <w:color w:val="000000"/>
          <w:sz w:val="28"/>
        </w:rPr>
        <w:t>
      медицинские изделия для генетического исследования при диагностике муковисцидоза;</w:t>
      </w:r>
    </w:p>
    <w:bookmarkEnd w:id="182"/>
    <w:bookmarkStart w:name="z190" w:id="183"/>
    <w:p>
      <w:pPr>
        <w:spacing w:after="0"/>
        <w:ind w:left="0"/>
        <w:jc w:val="both"/>
      </w:pPr>
      <w:r>
        <w:rPr>
          <w:rFonts w:ascii="Times New Roman"/>
          <w:b w:val="false"/>
          <w:i w:val="false"/>
          <w:color w:val="000000"/>
          <w:sz w:val="28"/>
        </w:rPr>
        <w:t>
      медицинские изделия для генетического исследования при диагностике серповидно-клеточной анемии;</w:t>
      </w:r>
    </w:p>
    <w:bookmarkEnd w:id="183"/>
    <w:bookmarkStart w:name="z191" w:id="184"/>
    <w:p>
      <w:pPr>
        <w:spacing w:after="0"/>
        <w:ind w:left="0"/>
        <w:jc w:val="both"/>
      </w:pPr>
      <w:r>
        <w:rPr>
          <w:rFonts w:ascii="Times New Roman"/>
          <w:b w:val="false"/>
          <w:i w:val="false"/>
          <w:color w:val="000000"/>
          <w:sz w:val="28"/>
        </w:rPr>
        <w:t>
      медицинские изделия для генетического исследования при диагностике хореи Гентингтона;</w:t>
      </w:r>
    </w:p>
    <w:bookmarkEnd w:id="184"/>
    <w:bookmarkStart w:name="z192" w:id="185"/>
    <w:p>
      <w:pPr>
        <w:spacing w:after="0"/>
        <w:ind w:left="0"/>
        <w:jc w:val="both"/>
      </w:pPr>
      <w:r>
        <w:rPr>
          <w:rFonts w:ascii="Times New Roman"/>
          <w:b w:val="false"/>
          <w:i w:val="false"/>
          <w:color w:val="000000"/>
          <w:sz w:val="28"/>
        </w:rPr>
        <w:t>
      медицинские изделия для генетического исследования при диагностике болезни Тэя-Сакса;</w:t>
      </w:r>
    </w:p>
    <w:bookmarkEnd w:id="185"/>
    <w:bookmarkStart w:name="z193" w:id="186"/>
    <w:p>
      <w:pPr>
        <w:spacing w:after="0"/>
        <w:ind w:left="0"/>
        <w:jc w:val="both"/>
      </w:pPr>
      <w:r>
        <w:rPr>
          <w:rFonts w:ascii="Times New Roman"/>
          <w:b w:val="false"/>
          <w:i w:val="false"/>
          <w:color w:val="000000"/>
          <w:sz w:val="28"/>
        </w:rPr>
        <w:t>
      медицинские изделия, предназначенные для диагностики талассемии и других нарушений гемоглобина.</w:t>
      </w:r>
    </w:p>
    <w:bookmarkEnd w:id="186"/>
    <w:bookmarkStart w:name="z194" w:id="187"/>
    <w:p>
      <w:pPr>
        <w:spacing w:after="0"/>
        <w:ind w:left="0"/>
        <w:jc w:val="both"/>
      </w:pPr>
      <w:r>
        <w:rPr>
          <w:rFonts w:ascii="Times New Roman"/>
          <w:b w:val="false"/>
          <w:i w:val="false"/>
          <w:color w:val="000000"/>
          <w:sz w:val="28"/>
        </w:rPr>
        <w:t xml:space="preserve">
      19. В соответствии с </w:t>
      </w:r>
      <w:r>
        <w:rPr>
          <w:rFonts w:ascii="Times New Roman"/>
          <w:b w:val="false"/>
          <w:i w:val="false"/>
          <w:color w:val="000000"/>
          <w:sz w:val="28"/>
        </w:rPr>
        <w:t>подпунктом "л"</w:t>
      </w:r>
      <w:r>
        <w:rPr>
          <w:rFonts w:ascii="Times New Roman"/>
          <w:b w:val="false"/>
          <w:i w:val="false"/>
          <w:color w:val="000000"/>
          <w:sz w:val="28"/>
        </w:rPr>
        <w:t xml:space="preserve"> пункта 37 Правил классификации медицинские изделия, предназначенные для скрининга врожденных болезней у новорожденных детей при наличии риска того, что невыявление и отсутствие лечения таких болезней может привести к возникновению опасных для жизни ситуаций или к инвалидности, относятся к классу 2б.</w:t>
      </w:r>
    </w:p>
    <w:bookmarkEnd w:id="187"/>
    <w:bookmarkStart w:name="z195" w:id="188"/>
    <w:p>
      <w:pPr>
        <w:spacing w:after="0"/>
        <w:ind w:left="0"/>
        <w:jc w:val="both"/>
      </w:pPr>
      <w:r>
        <w:rPr>
          <w:rFonts w:ascii="Times New Roman"/>
          <w:b w:val="false"/>
          <w:i w:val="false"/>
          <w:color w:val="000000"/>
          <w:sz w:val="28"/>
        </w:rPr>
        <w:t xml:space="preserve">
      Подпункт "л" пункта 37 Правил классификации следует применять в отношении медицинских изделий, предназначенных для скрининга новорожденных вскоре после рождения на наличие заболеваний, поддающихся лечению, но не проявляющихся клинически в период новорожденности. </w:t>
      </w:r>
    </w:p>
    <w:bookmarkEnd w:id="188"/>
    <w:bookmarkStart w:name="z196" w:id="189"/>
    <w:p>
      <w:pPr>
        <w:spacing w:after="0"/>
        <w:ind w:left="0"/>
        <w:jc w:val="both"/>
      </w:pPr>
      <w:r>
        <w:rPr>
          <w:rFonts w:ascii="Times New Roman"/>
          <w:b w:val="false"/>
          <w:i w:val="false"/>
          <w:color w:val="000000"/>
          <w:sz w:val="28"/>
        </w:rPr>
        <w:t xml:space="preserve">
      В отношении новорожденных с положительным результатом скринингового исследования проводится дальнейшее исследование для подтверждения наличия (отсутствия) у них врожденного заболевания. </w:t>
      </w:r>
    </w:p>
    <w:bookmarkEnd w:id="189"/>
    <w:bookmarkStart w:name="z197" w:id="190"/>
    <w:p>
      <w:pPr>
        <w:spacing w:after="0"/>
        <w:ind w:left="0"/>
        <w:jc w:val="both"/>
      </w:pPr>
      <w:r>
        <w:rPr>
          <w:rFonts w:ascii="Times New Roman"/>
          <w:b w:val="false"/>
          <w:i w:val="false"/>
          <w:color w:val="000000"/>
          <w:sz w:val="28"/>
        </w:rPr>
        <w:t>
      Примерами таких медицинских изделий могут являться медицинские изделия, предназначенные для выявления следующих врожденных патологий:</w:t>
      </w:r>
    </w:p>
    <w:bookmarkEnd w:id="190"/>
    <w:bookmarkStart w:name="z198" w:id="191"/>
    <w:p>
      <w:pPr>
        <w:spacing w:after="0"/>
        <w:ind w:left="0"/>
        <w:jc w:val="both"/>
      </w:pPr>
      <w:r>
        <w:rPr>
          <w:rFonts w:ascii="Times New Roman"/>
          <w:b w:val="false"/>
          <w:i w:val="false"/>
          <w:color w:val="000000"/>
          <w:sz w:val="28"/>
        </w:rPr>
        <w:t>
      бета-талассемия;</w:t>
      </w:r>
    </w:p>
    <w:bookmarkEnd w:id="191"/>
    <w:bookmarkStart w:name="z199" w:id="192"/>
    <w:p>
      <w:pPr>
        <w:spacing w:after="0"/>
        <w:ind w:left="0"/>
        <w:jc w:val="both"/>
      </w:pPr>
      <w:r>
        <w:rPr>
          <w:rFonts w:ascii="Times New Roman"/>
          <w:b w:val="false"/>
          <w:i w:val="false"/>
          <w:color w:val="000000"/>
          <w:sz w:val="28"/>
        </w:rPr>
        <w:t>
      дефицит биотинидазы;</w:t>
      </w:r>
    </w:p>
    <w:bookmarkEnd w:id="192"/>
    <w:bookmarkStart w:name="z200" w:id="193"/>
    <w:p>
      <w:pPr>
        <w:spacing w:after="0"/>
        <w:ind w:left="0"/>
        <w:jc w:val="both"/>
      </w:pPr>
      <w:r>
        <w:rPr>
          <w:rFonts w:ascii="Times New Roman"/>
          <w:b w:val="false"/>
          <w:i w:val="false"/>
          <w:color w:val="000000"/>
          <w:sz w:val="28"/>
        </w:rPr>
        <w:t>
      врожденная гиперплазия надпочечников, например, определение 17-гидроксипрогестерона (17-ОНР);</w:t>
      </w:r>
    </w:p>
    <w:bookmarkEnd w:id="193"/>
    <w:bookmarkStart w:name="z201" w:id="194"/>
    <w:p>
      <w:pPr>
        <w:spacing w:after="0"/>
        <w:ind w:left="0"/>
        <w:jc w:val="both"/>
      </w:pPr>
      <w:r>
        <w:rPr>
          <w:rFonts w:ascii="Times New Roman"/>
          <w:b w:val="false"/>
          <w:i w:val="false"/>
          <w:color w:val="000000"/>
          <w:sz w:val="28"/>
        </w:rPr>
        <w:t>
      врожденный гипотиреоз, например, определение тироксина;</w:t>
      </w:r>
    </w:p>
    <w:bookmarkEnd w:id="194"/>
    <w:bookmarkStart w:name="z202" w:id="195"/>
    <w:p>
      <w:pPr>
        <w:spacing w:after="0"/>
        <w:ind w:left="0"/>
        <w:jc w:val="both"/>
      </w:pPr>
      <w:r>
        <w:rPr>
          <w:rFonts w:ascii="Times New Roman"/>
          <w:b w:val="false"/>
          <w:i w:val="false"/>
          <w:color w:val="000000"/>
          <w:sz w:val="28"/>
        </w:rPr>
        <w:t>
      муковисцидоз, например, скрининг мутаций;</w:t>
      </w:r>
    </w:p>
    <w:bookmarkEnd w:id="195"/>
    <w:bookmarkStart w:name="z203" w:id="196"/>
    <w:p>
      <w:pPr>
        <w:spacing w:after="0"/>
        <w:ind w:left="0"/>
        <w:jc w:val="both"/>
      </w:pPr>
      <w:r>
        <w:rPr>
          <w:rFonts w:ascii="Times New Roman"/>
          <w:b w:val="false"/>
          <w:i w:val="false"/>
          <w:color w:val="000000"/>
          <w:sz w:val="28"/>
        </w:rPr>
        <w:t>
      галактоземия, например, определение общей галактозы или галактозо-1-фосфатуридилтрансферазы;</w:t>
      </w:r>
    </w:p>
    <w:bookmarkEnd w:id="196"/>
    <w:bookmarkStart w:name="z204" w:id="197"/>
    <w:p>
      <w:pPr>
        <w:spacing w:after="0"/>
        <w:ind w:left="0"/>
        <w:jc w:val="both"/>
      </w:pPr>
      <w:r>
        <w:rPr>
          <w:rFonts w:ascii="Times New Roman"/>
          <w:b w:val="false"/>
          <w:i w:val="false"/>
          <w:color w:val="000000"/>
          <w:sz w:val="28"/>
        </w:rPr>
        <w:t>
      глутаровая ацидурия 1 типа;</w:t>
      </w:r>
    </w:p>
    <w:bookmarkEnd w:id="197"/>
    <w:bookmarkStart w:name="z205" w:id="198"/>
    <w:p>
      <w:pPr>
        <w:spacing w:after="0"/>
        <w:ind w:left="0"/>
        <w:jc w:val="both"/>
      </w:pPr>
      <w:r>
        <w:rPr>
          <w:rFonts w:ascii="Times New Roman"/>
          <w:b w:val="false"/>
          <w:i w:val="false"/>
          <w:color w:val="000000"/>
          <w:sz w:val="28"/>
        </w:rPr>
        <w:t>
      гиперфенилаланинемия (фенилкетонурия), например, определение фенилаланина (в крови); фенилпировиноградной, 2-ОН фенилуксусной кислот (в моче);</w:t>
      </w:r>
    </w:p>
    <w:bookmarkEnd w:id="198"/>
    <w:bookmarkStart w:name="z206" w:id="199"/>
    <w:p>
      <w:pPr>
        <w:spacing w:after="0"/>
        <w:ind w:left="0"/>
        <w:jc w:val="both"/>
      </w:pPr>
      <w:r>
        <w:rPr>
          <w:rFonts w:ascii="Times New Roman"/>
          <w:b w:val="false"/>
          <w:i w:val="false"/>
          <w:color w:val="000000"/>
          <w:sz w:val="28"/>
        </w:rPr>
        <w:t xml:space="preserve">
      гомоцистинурия (невосприимчивости к пиридоксину), например, свободный гомоцистеин, общий гомоцистеин и метионин (в крови и моче); </w:t>
      </w:r>
    </w:p>
    <w:bookmarkEnd w:id="199"/>
    <w:bookmarkStart w:name="z207" w:id="200"/>
    <w:p>
      <w:pPr>
        <w:spacing w:after="0"/>
        <w:ind w:left="0"/>
        <w:jc w:val="both"/>
      </w:pPr>
      <w:r>
        <w:rPr>
          <w:rFonts w:ascii="Times New Roman"/>
          <w:b w:val="false"/>
          <w:i w:val="false"/>
          <w:color w:val="000000"/>
          <w:sz w:val="28"/>
        </w:rPr>
        <w:t>
      изовалериановая ацидемия;</w:t>
      </w:r>
    </w:p>
    <w:bookmarkEnd w:id="200"/>
    <w:bookmarkStart w:name="z208" w:id="201"/>
    <w:p>
      <w:pPr>
        <w:spacing w:after="0"/>
        <w:ind w:left="0"/>
        <w:jc w:val="both"/>
      </w:pPr>
      <w:r>
        <w:rPr>
          <w:rFonts w:ascii="Times New Roman"/>
          <w:b w:val="false"/>
          <w:i w:val="false"/>
          <w:color w:val="000000"/>
          <w:sz w:val="28"/>
        </w:rPr>
        <w:t>
      лейциноз (разветвленно-цепочечная кетонурия, болезнь мочи с запахом кленового сиропа, болезнь кленового сиропа), например, определение аминокислот с разветвленной цепью, аллоизолейцина (в крови), 2-кетокислоты с разветвленной цепью;</w:t>
      </w:r>
    </w:p>
    <w:bookmarkEnd w:id="201"/>
    <w:bookmarkStart w:name="z209" w:id="202"/>
    <w:p>
      <w:pPr>
        <w:spacing w:after="0"/>
        <w:ind w:left="0"/>
        <w:jc w:val="both"/>
      </w:pPr>
      <w:r>
        <w:rPr>
          <w:rFonts w:ascii="Times New Roman"/>
          <w:b w:val="false"/>
          <w:i w:val="false"/>
          <w:color w:val="000000"/>
          <w:sz w:val="28"/>
        </w:rPr>
        <w:t>
      дефицит ацил-КоА-дегидрогеназы со средней длиной цепи, например, измерение ацилкарнитина;</w:t>
      </w:r>
    </w:p>
    <w:bookmarkEnd w:id="202"/>
    <w:bookmarkStart w:name="z210" w:id="203"/>
    <w:p>
      <w:pPr>
        <w:spacing w:after="0"/>
        <w:ind w:left="0"/>
        <w:jc w:val="both"/>
      </w:pPr>
      <w:r>
        <w:rPr>
          <w:rFonts w:ascii="Times New Roman"/>
          <w:b w:val="false"/>
          <w:i w:val="false"/>
          <w:color w:val="000000"/>
          <w:sz w:val="28"/>
        </w:rPr>
        <w:t>
      метилмалоновая ацидурия, включая cblA, cblB, cblC и cblD;</w:t>
      </w:r>
    </w:p>
    <w:bookmarkEnd w:id="203"/>
    <w:bookmarkStart w:name="z211" w:id="204"/>
    <w:p>
      <w:pPr>
        <w:spacing w:after="0"/>
        <w:ind w:left="0"/>
        <w:jc w:val="both"/>
      </w:pPr>
      <w:r>
        <w:rPr>
          <w:rFonts w:ascii="Times New Roman"/>
          <w:b w:val="false"/>
          <w:i w:val="false"/>
          <w:color w:val="000000"/>
          <w:sz w:val="28"/>
        </w:rPr>
        <w:t>
      пропионовая ацидурия;</w:t>
      </w:r>
    </w:p>
    <w:bookmarkEnd w:id="204"/>
    <w:bookmarkStart w:name="z212" w:id="205"/>
    <w:p>
      <w:pPr>
        <w:spacing w:after="0"/>
        <w:ind w:left="0"/>
        <w:jc w:val="both"/>
      </w:pPr>
      <w:r>
        <w:rPr>
          <w:rFonts w:ascii="Times New Roman"/>
          <w:b w:val="false"/>
          <w:i w:val="false"/>
          <w:color w:val="000000"/>
          <w:sz w:val="28"/>
        </w:rPr>
        <w:t>
      дефицит N-ацетилглутаматсинтазы, например, глютамина, аланина, цитруллина, аргинина (в крови);</w:t>
      </w:r>
    </w:p>
    <w:bookmarkEnd w:id="205"/>
    <w:bookmarkStart w:name="z213" w:id="206"/>
    <w:p>
      <w:pPr>
        <w:spacing w:after="0"/>
        <w:ind w:left="0"/>
        <w:jc w:val="both"/>
      </w:pPr>
      <w:r>
        <w:rPr>
          <w:rFonts w:ascii="Times New Roman"/>
          <w:b w:val="false"/>
          <w:i w:val="false"/>
          <w:color w:val="000000"/>
          <w:sz w:val="28"/>
        </w:rPr>
        <w:t>
      серповидно-клеточная анемия;</w:t>
      </w:r>
    </w:p>
    <w:bookmarkEnd w:id="206"/>
    <w:bookmarkStart w:name="z214" w:id="207"/>
    <w:p>
      <w:pPr>
        <w:spacing w:after="0"/>
        <w:ind w:left="0"/>
        <w:jc w:val="both"/>
      </w:pPr>
      <w:r>
        <w:rPr>
          <w:rFonts w:ascii="Times New Roman"/>
          <w:b w:val="false"/>
          <w:i w:val="false"/>
          <w:color w:val="000000"/>
          <w:sz w:val="28"/>
        </w:rPr>
        <w:t xml:space="preserve">
      тирозинемия (I, II, III), например, тирозин (в крови); </w:t>
      </w:r>
    </w:p>
    <w:bookmarkEnd w:id="207"/>
    <w:bookmarkStart w:name="z215" w:id="208"/>
    <w:p>
      <w:pPr>
        <w:spacing w:after="0"/>
        <w:ind w:left="0"/>
        <w:jc w:val="both"/>
      </w:pPr>
      <w:r>
        <w:rPr>
          <w:rFonts w:ascii="Times New Roman"/>
          <w:b w:val="false"/>
          <w:i w:val="false"/>
          <w:color w:val="000000"/>
          <w:sz w:val="28"/>
        </w:rPr>
        <w:t>
      сукцинилацетон, 4-ОН фенилпировиноградной, 4-ОН фенилмолочной кислоты (в моче);</w:t>
      </w:r>
    </w:p>
    <w:bookmarkEnd w:id="208"/>
    <w:bookmarkStart w:name="z216" w:id="209"/>
    <w:p>
      <w:pPr>
        <w:spacing w:after="0"/>
        <w:ind w:left="0"/>
        <w:jc w:val="both"/>
      </w:pPr>
      <w:r>
        <w:rPr>
          <w:rFonts w:ascii="Times New Roman"/>
          <w:b w:val="false"/>
          <w:i w:val="false"/>
          <w:color w:val="000000"/>
          <w:sz w:val="28"/>
        </w:rPr>
        <w:t xml:space="preserve">
      проксимальная спинальная мышечная атрофия 5q; </w:t>
      </w:r>
    </w:p>
    <w:bookmarkEnd w:id="209"/>
    <w:bookmarkStart w:name="z217" w:id="210"/>
    <w:p>
      <w:pPr>
        <w:spacing w:after="0"/>
        <w:ind w:left="0"/>
        <w:jc w:val="both"/>
      </w:pPr>
      <w:r>
        <w:rPr>
          <w:rFonts w:ascii="Times New Roman"/>
          <w:b w:val="false"/>
          <w:i w:val="false"/>
          <w:color w:val="000000"/>
          <w:sz w:val="28"/>
        </w:rPr>
        <w:t>
      тяжелый комбинированный иммунодефицит (SCID), например, определение TREC/KREC.</w:t>
      </w:r>
    </w:p>
    <w:bookmarkEnd w:id="210"/>
    <w:bookmarkStart w:name="z218" w:id="211"/>
    <w:p>
      <w:pPr>
        <w:spacing w:after="0"/>
        <w:ind w:left="0"/>
        <w:jc w:val="both"/>
      </w:pPr>
      <w:r>
        <w:rPr>
          <w:rFonts w:ascii="Times New Roman"/>
          <w:b w:val="false"/>
          <w:i w:val="false"/>
          <w:color w:val="000000"/>
          <w:sz w:val="28"/>
        </w:rPr>
        <w:t xml:space="preserve">
      20. В соответствии с </w:t>
      </w:r>
      <w:r>
        <w:rPr>
          <w:rFonts w:ascii="Times New Roman"/>
          <w:b w:val="false"/>
          <w:i w:val="false"/>
          <w:color w:val="000000"/>
          <w:sz w:val="28"/>
        </w:rPr>
        <w:t>подпунктом "м"</w:t>
      </w:r>
      <w:r>
        <w:rPr>
          <w:rFonts w:ascii="Times New Roman"/>
          <w:b w:val="false"/>
          <w:i w:val="false"/>
          <w:color w:val="000000"/>
          <w:sz w:val="28"/>
        </w:rPr>
        <w:t xml:space="preserve"> пункта 37 Правил классификации медицинские изделия, предназначенные для скрининга для отбора пациентов для избирательной терапии и ведения в качестве сопутствующей диагностики, относятся к классу 2б.</w:t>
      </w:r>
    </w:p>
    <w:bookmarkEnd w:id="211"/>
    <w:bookmarkStart w:name="z219" w:id="212"/>
    <w:p>
      <w:pPr>
        <w:spacing w:after="0"/>
        <w:ind w:left="0"/>
        <w:jc w:val="both"/>
      </w:pPr>
      <w:r>
        <w:rPr>
          <w:rFonts w:ascii="Times New Roman"/>
          <w:b w:val="false"/>
          <w:i w:val="false"/>
          <w:color w:val="000000"/>
          <w:sz w:val="28"/>
        </w:rPr>
        <w:t>
      Под медицинским изделием, предназначенным для использования в качестве сопутствующей диагностики, следует понимать медицинское изделие, необходимое для безопасного и эффективного использования соответствующего лекарственного средства в целях:</w:t>
      </w:r>
    </w:p>
    <w:bookmarkEnd w:id="212"/>
    <w:bookmarkStart w:name="z220" w:id="213"/>
    <w:p>
      <w:pPr>
        <w:spacing w:after="0"/>
        <w:ind w:left="0"/>
        <w:jc w:val="both"/>
      </w:pPr>
      <w:r>
        <w:rPr>
          <w:rFonts w:ascii="Times New Roman"/>
          <w:b w:val="false"/>
          <w:i w:val="false"/>
          <w:color w:val="000000"/>
          <w:sz w:val="28"/>
        </w:rPr>
        <w:t>
      выявления до и (или) во время лечения пациентов, у которых соответствующий лекарственный препарат может принести наибольшую пользу;</w:t>
      </w:r>
    </w:p>
    <w:bookmarkEnd w:id="213"/>
    <w:bookmarkStart w:name="z221" w:id="214"/>
    <w:p>
      <w:pPr>
        <w:spacing w:after="0"/>
        <w:ind w:left="0"/>
        <w:jc w:val="both"/>
      </w:pPr>
      <w:r>
        <w:rPr>
          <w:rFonts w:ascii="Times New Roman"/>
          <w:b w:val="false"/>
          <w:i w:val="false"/>
          <w:color w:val="000000"/>
          <w:sz w:val="28"/>
        </w:rPr>
        <w:t>
      выявления до и (или) во время лечения пациентов, которые могут подвергаться повышенному риску серьезных побочных реакций в результате лечения соответствующим лекарственным средством.</w:t>
      </w:r>
    </w:p>
    <w:bookmarkEnd w:id="214"/>
    <w:bookmarkStart w:name="z222" w:id="215"/>
    <w:p>
      <w:pPr>
        <w:spacing w:after="0"/>
        <w:ind w:left="0"/>
        <w:jc w:val="both"/>
      </w:pPr>
      <w:r>
        <w:rPr>
          <w:rFonts w:ascii="Times New Roman"/>
          <w:b w:val="false"/>
          <w:i w:val="false"/>
          <w:color w:val="000000"/>
          <w:sz w:val="28"/>
        </w:rPr>
        <w:t>
      Чтобы медицинское изделие было определено как медицинское изделие сопутствующей диагностики, в его назначении должна быть ссылка на лекарственный препарат с международным непатентованным названием.</w:t>
      </w:r>
    </w:p>
    <w:bookmarkEnd w:id="215"/>
    <w:bookmarkStart w:name="z223" w:id="216"/>
    <w:p>
      <w:pPr>
        <w:spacing w:after="0"/>
        <w:ind w:left="0"/>
        <w:jc w:val="both"/>
      </w:pPr>
      <w:r>
        <w:rPr>
          <w:rFonts w:ascii="Times New Roman"/>
          <w:b w:val="false"/>
          <w:i w:val="false"/>
          <w:color w:val="000000"/>
          <w:sz w:val="28"/>
        </w:rPr>
        <w:t>
      Идентификация пациентов может включать количественное или качественное определение специфических маркеров. Такие специфические маркеры могут присутствовать у здоровых субъектов и (или) у пациентов.</w:t>
      </w:r>
    </w:p>
    <w:bookmarkEnd w:id="216"/>
    <w:bookmarkStart w:name="z224" w:id="217"/>
    <w:p>
      <w:pPr>
        <w:spacing w:after="0"/>
        <w:ind w:left="0"/>
        <w:jc w:val="both"/>
      </w:pPr>
      <w:r>
        <w:rPr>
          <w:rFonts w:ascii="Times New Roman"/>
          <w:b w:val="false"/>
          <w:i w:val="false"/>
          <w:color w:val="000000"/>
          <w:sz w:val="28"/>
        </w:rPr>
        <w:t>
      Не следует относить к медицинским изделиям сопутствующей диагностики:</w:t>
      </w:r>
    </w:p>
    <w:bookmarkEnd w:id="217"/>
    <w:bookmarkStart w:name="z225" w:id="218"/>
    <w:p>
      <w:pPr>
        <w:spacing w:after="0"/>
        <w:ind w:left="0"/>
        <w:jc w:val="both"/>
      </w:pPr>
      <w:r>
        <w:rPr>
          <w:rFonts w:ascii="Times New Roman"/>
          <w:b w:val="false"/>
          <w:i w:val="false"/>
          <w:color w:val="000000"/>
          <w:sz w:val="28"/>
        </w:rPr>
        <w:t>
      медицинские изделия, которые предназначены для подтверждения того, что концентрация соответствующих веществ в организме человека находится в пределах терапевтического окна;</w:t>
      </w:r>
    </w:p>
    <w:bookmarkEnd w:id="218"/>
    <w:bookmarkStart w:name="z226" w:id="219"/>
    <w:p>
      <w:pPr>
        <w:spacing w:after="0"/>
        <w:ind w:left="0"/>
        <w:jc w:val="both"/>
      </w:pPr>
      <w:r>
        <w:rPr>
          <w:rFonts w:ascii="Times New Roman"/>
          <w:b w:val="false"/>
          <w:i w:val="false"/>
          <w:color w:val="000000"/>
          <w:sz w:val="28"/>
        </w:rPr>
        <w:t>
      медицинские изделия, предназначенные для количественного или качественного определения специфических маркеров для установления дозы конкретного лекарственного средства для пациентов, которым уже предписано получение этого лекарственного средства.</w:t>
      </w:r>
    </w:p>
    <w:bookmarkEnd w:id="219"/>
    <w:bookmarkStart w:name="z227" w:id="220"/>
    <w:p>
      <w:pPr>
        <w:spacing w:after="0"/>
        <w:ind w:left="0"/>
        <w:jc w:val="both"/>
      </w:pPr>
      <w:r>
        <w:rPr>
          <w:rFonts w:ascii="Times New Roman"/>
          <w:b w:val="false"/>
          <w:i w:val="false"/>
          <w:color w:val="000000"/>
          <w:sz w:val="28"/>
        </w:rPr>
        <w:t xml:space="preserve">
      Примерами необходимых для безопасного и эффективного использования соответствующего лекарственного средства медицинских изделий, относящихся к </w:t>
      </w:r>
      <w:r>
        <w:rPr>
          <w:rFonts w:ascii="Times New Roman"/>
          <w:b w:val="false"/>
          <w:i w:val="false"/>
          <w:color w:val="000000"/>
          <w:sz w:val="28"/>
        </w:rPr>
        <w:t>подпункту "м"</w:t>
      </w:r>
      <w:r>
        <w:rPr>
          <w:rFonts w:ascii="Times New Roman"/>
          <w:b w:val="false"/>
          <w:i w:val="false"/>
          <w:color w:val="000000"/>
          <w:sz w:val="28"/>
        </w:rPr>
        <w:t xml:space="preserve"> пункта 37 Правил классификации, могут являться:</w:t>
      </w:r>
    </w:p>
    <w:bookmarkEnd w:id="220"/>
    <w:bookmarkStart w:name="z228" w:id="221"/>
    <w:p>
      <w:pPr>
        <w:spacing w:after="0"/>
        <w:ind w:left="0"/>
        <w:jc w:val="both"/>
      </w:pPr>
      <w:r>
        <w:rPr>
          <w:rFonts w:ascii="Times New Roman"/>
          <w:b w:val="false"/>
          <w:i w:val="false"/>
          <w:color w:val="000000"/>
          <w:sz w:val="28"/>
        </w:rPr>
        <w:t>
      медицинские изделия, предназначенные для идентификации генотипа, одного или нескольких генетических и (или) геномных вариантов, например, наборы реагентов для определения аллелей генов CYP2C9, ассоциированных с функциональной активностью ферментов печени, участвующих в метаболизме варфарина;</w:t>
      </w:r>
    </w:p>
    <w:bookmarkEnd w:id="221"/>
    <w:bookmarkStart w:name="z229" w:id="222"/>
    <w:p>
      <w:pPr>
        <w:spacing w:after="0"/>
        <w:ind w:left="0"/>
        <w:jc w:val="both"/>
      </w:pPr>
      <w:r>
        <w:rPr>
          <w:rFonts w:ascii="Times New Roman"/>
          <w:b w:val="false"/>
          <w:i w:val="false"/>
          <w:color w:val="000000"/>
          <w:sz w:val="28"/>
        </w:rPr>
        <w:t>
      медицинские изделия, предназначенные для идентификации маркера (рецептора, транспортера, другого биомаркера на основе белка или его варианта), на который конкретно нацелено соответствующее лекарственное средство;</w:t>
      </w:r>
    </w:p>
    <w:bookmarkEnd w:id="222"/>
    <w:bookmarkStart w:name="z230" w:id="223"/>
    <w:p>
      <w:pPr>
        <w:spacing w:after="0"/>
        <w:ind w:left="0"/>
        <w:jc w:val="both"/>
      </w:pPr>
      <w:r>
        <w:rPr>
          <w:rFonts w:ascii="Times New Roman"/>
          <w:b w:val="false"/>
          <w:i w:val="false"/>
          <w:color w:val="000000"/>
          <w:sz w:val="28"/>
        </w:rPr>
        <w:t>
      медицинские изделия, предназначенные для выявления антител к конкретному лекарственному средству в процессе лечения;</w:t>
      </w:r>
    </w:p>
    <w:bookmarkEnd w:id="223"/>
    <w:bookmarkStart w:name="z231" w:id="224"/>
    <w:p>
      <w:pPr>
        <w:spacing w:after="0"/>
        <w:ind w:left="0"/>
        <w:jc w:val="both"/>
      </w:pPr>
      <w:r>
        <w:rPr>
          <w:rFonts w:ascii="Times New Roman"/>
          <w:b w:val="false"/>
          <w:i w:val="false"/>
          <w:color w:val="000000"/>
          <w:sz w:val="28"/>
        </w:rPr>
        <w:t>
      медицинские изделия, предназначенные для выявления пациентов, у которых ожидается улучшение состояния их здоровья от лечения конкретным лекарственным средством, на основании отсутствия соответствующего маркера.</w:t>
      </w:r>
    </w:p>
    <w:bookmarkEnd w:id="224"/>
    <w:bookmarkStart w:name="z232" w:id="225"/>
    <w:p>
      <w:pPr>
        <w:spacing w:after="0"/>
        <w:ind w:left="0"/>
        <w:jc w:val="both"/>
      </w:pPr>
      <w:r>
        <w:rPr>
          <w:rFonts w:ascii="Times New Roman"/>
          <w:b w:val="false"/>
          <w:i w:val="false"/>
          <w:color w:val="000000"/>
          <w:sz w:val="28"/>
        </w:rPr>
        <w:t>
      Специфическими примерами медицинских изделий для сопутствующей диагностики являются:</w:t>
      </w:r>
    </w:p>
    <w:bookmarkEnd w:id="225"/>
    <w:bookmarkStart w:name="z233" w:id="226"/>
    <w:p>
      <w:pPr>
        <w:spacing w:after="0"/>
        <w:ind w:left="0"/>
        <w:jc w:val="both"/>
      </w:pPr>
      <w:r>
        <w:rPr>
          <w:rFonts w:ascii="Times New Roman"/>
          <w:b w:val="false"/>
          <w:i w:val="false"/>
          <w:color w:val="000000"/>
          <w:sz w:val="28"/>
        </w:rPr>
        <w:t>
      набор реагентов для качественного определения белка киназы анапластической лимфомы (ALK) в фиксированной формалином и залитой парафином (FFPE) ткани немелкоклеточной карциномы легкого (NSCLC), предназначенное для помощи в выявлении пациентов, подходящих для лечения кризотинибом или церитинибом;</w:t>
      </w:r>
    </w:p>
    <w:bookmarkEnd w:id="226"/>
    <w:bookmarkStart w:name="z234" w:id="227"/>
    <w:p>
      <w:pPr>
        <w:spacing w:after="0"/>
        <w:ind w:left="0"/>
        <w:jc w:val="both"/>
      </w:pPr>
      <w:r>
        <w:rPr>
          <w:rFonts w:ascii="Times New Roman"/>
          <w:b w:val="false"/>
          <w:i w:val="false"/>
          <w:color w:val="000000"/>
          <w:sz w:val="28"/>
        </w:rPr>
        <w:t>
      реагент для обнаружения белка PD-L1 в фиксированной формалином и залитой парафином ткани немелкоклеточной рака легкого и аденокарциномы желудка для выявления пациентов для лечения с пембролизумабом;</w:t>
      </w:r>
    </w:p>
    <w:bookmarkEnd w:id="227"/>
    <w:bookmarkStart w:name="z235" w:id="228"/>
    <w:p>
      <w:pPr>
        <w:spacing w:after="0"/>
        <w:ind w:left="0"/>
        <w:jc w:val="both"/>
      </w:pPr>
      <w:r>
        <w:rPr>
          <w:rFonts w:ascii="Times New Roman"/>
          <w:b w:val="false"/>
          <w:i w:val="false"/>
          <w:color w:val="000000"/>
          <w:sz w:val="28"/>
        </w:rPr>
        <w:t>
      набор реагентов для качественного обнаружения мутаций на основе полимеразной цепной реакции в гене изоцитратдегидрогеназы-2 (IDH2) в ДНК, выделенной из крови или костного мозга человека, для выявления пациентов с острым миелоидным лейкозом для лечения эназиденибом;</w:t>
      </w:r>
    </w:p>
    <w:bookmarkEnd w:id="228"/>
    <w:bookmarkStart w:name="z236" w:id="229"/>
    <w:p>
      <w:pPr>
        <w:spacing w:after="0"/>
        <w:ind w:left="0"/>
        <w:jc w:val="both"/>
      </w:pPr>
      <w:r>
        <w:rPr>
          <w:rFonts w:ascii="Times New Roman"/>
          <w:b w:val="false"/>
          <w:i w:val="false"/>
          <w:color w:val="000000"/>
          <w:sz w:val="28"/>
        </w:rPr>
        <w:t>
      набор реагентов для выявления мутаций в гене EGFR на основе полимеразной цепной реакции, для выявления взрослых пациентов с местно распространенным или метастатическим немелкоклеточным раком легкого для лечения дакомитинибом;</w:t>
      </w:r>
    </w:p>
    <w:bookmarkEnd w:id="229"/>
    <w:bookmarkStart w:name="z237" w:id="230"/>
    <w:p>
      <w:pPr>
        <w:spacing w:after="0"/>
        <w:ind w:left="0"/>
        <w:jc w:val="both"/>
      </w:pPr>
      <w:r>
        <w:rPr>
          <w:rFonts w:ascii="Times New Roman"/>
          <w:b w:val="false"/>
          <w:i w:val="false"/>
          <w:color w:val="000000"/>
          <w:sz w:val="28"/>
        </w:rPr>
        <w:t>
      набор реагентов на основе секвенирования следующего поколения (NGS) для выявления мутаций в генах KRAS/NRAS, влияющих на эффективность вектибикса, используемого для лечения пациентов с метастатическим колоректальным раком;</w:t>
      </w:r>
    </w:p>
    <w:bookmarkEnd w:id="230"/>
    <w:bookmarkStart w:name="z238" w:id="231"/>
    <w:p>
      <w:pPr>
        <w:spacing w:after="0"/>
        <w:ind w:left="0"/>
        <w:jc w:val="both"/>
      </w:pPr>
      <w:r>
        <w:rPr>
          <w:rFonts w:ascii="Times New Roman"/>
          <w:b w:val="false"/>
          <w:i w:val="false"/>
          <w:color w:val="000000"/>
          <w:sz w:val="28"/>
        </w:rPr>
        <w:t>
      набор реагентов для обнаружения соматических мутаций в гене KRAS человека в целях идентификации пациентов с колоректальным раком для лечения цетуксимабом или панитумумабом.</w:t>
      </w:r>
    </w:p>
    <w:bookmarkEnd w:id="231"/>
    <w:bookmarkStart w:name="z239" w:id="232"/>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38</w:t>
      </w:r>
      <w:r>
        <w:rPr>
          <w:rFonts w:ascii="Times New Roman"/>
          <w:b w:val="false"/>
          <w:i w:val="false"/>
          <w:color w:val="000000"/>
          <w:sz w:val="28"/>
        </w:rPr>
        <w:t xml:space="preserve"> Правил классификации медицинские изделия, предназначенные для использования непрофессиональными пользователями, относятся к классу 2б. Если результат анализа, полученный с применением указанных медицинских изделий, не носит критический медицинский статус или предварителен и требует последующего сравнения с соответствующими лабораторными исследованиями, такие медицинские изделия относятся к классу 2а. Если указанные медицинские изделия предназначены для целей, указанных в </w:t>
      </w:r>
      <w:r>
        <w:rPr>
          <w:rFonts w:ascii="Times New Roman"/>
          <w:b w:val="false"/>
          <w:i w:val="false"/>
          <w:color w:val="000000"/>
          <w:sz w:val="28"/>
        </w:rPr>
        <w:t>пунктах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Правил классификации, такие медицинские изделия относятся к классу 3.</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Правил классификации следует применять к медицинским изделиям, предназначенным для самотестирования и тестирования по месту лечения (по месту нахождения) пациента. </w:t>
      </w:r>
    </w:p>
    <w:bookmarkStart w:name="z241" w:id="233"/>
    <w:p>
      <w:pPr>
        <w:spacing w:after="0"/>
        <w:ind w:left="0"/>
        <w:jc w:val="both"/>
      </w:pPr>
      <w:r>
        <w:rPr>
          <w:rFonts w:ascii="Times New Roman"/>
          <w:b w:val="false"/>
          <w:i w:val="false"/>
          <w:color w:val="000000"/>
          <w:sz w:val="28"/>
        </w:rPr>
        <w:t>
      Примерами медицинских изделий для самотестирования, относящихся к классу 2а в соответствии с пунктом 38 Правил классификации, могут являться медицинские изделия для определения беременности, фертильности, определения уровня холестерина (в любом образце биологического материала), а также медицинские изделия для определения глюкозы, эритроцитов, лейкоцитов и бактерий в моче (относятся к классу 2а, так как результат анализа не носит критический медицинский статус или предварителен).</w:t>
      </w:r>
    </w:p>
    <w:bookmarkEnd w:id="233"/>
    <w:bookmarkStart w:name="z242" w:id="234"/>
    <w:p>
      <w:pPr>
        <w:spacing w:after="0"/>
        <w:ind w:left="0"/>
        <w:jc w:val="both"/>
      </w:pPr>
      <w:r>
        <w:rPr>
          <w:rFonts w:ascii="Times New Roman"/>
          <w:b w:val="false"/>
          <w:i w:val="false"/>
          <w:color w:val="000000"/>
          <w:sz w:val="28"/>
        </w:rPr>
        <w:t>
      Примером медицинского изделия для самотестирования, относящегося к классу 3 в соответствии с пунктом 38 Правил классификации, может являться экспресс-тест для выявления маркеров вируса иммунодефицита человека.</w:t>
      </w:r>
    </w:p>
    <w:bookmarkEnd w:id="234"/>
    <w:bookmarkStart w:name="z243" w:id="235"/>
    <w:p>
      <w:pPr>
        <w:spacing w:after="0"/>
        <w:ind w:left="0"/>
        <w:jc w:val="both"/>
      </w:pPr>
      <w:r>
        <w:rPr>
          <w:rFonts w:ascii="Times New Roman"/>
          <w:b w:val="false"/>
          <w:i w:val="false"/>
          <w:color w:val="000000"/>
          <w:sz w:val="28"/>
        </w:rPr>
        <w:t xml:space="preserve">
      Классификация медицинских изделий для использования непрофессиональными пользователями по месту нахождения пациента должна соответствовать предполагаемому назначению, установленному производителем. </w:t>
      </w:r>
    </w:p>
    <w:bookmarkEnd w:id="235"/>
    <w:bookmarkStart w:name="z244" w:id="236"/>
    <w:p>
      <w:pPr>
        <w:spacing w:after="0"/>
        <w:ind w:left="0"/>
        <w:jc w:val="both"/>
      </w:pPr>
      <w:r>
        <w:rPr>
          <w:rFonts w:ascii="Times New Roman"/>
          <w:b w:val="false"/>
          <w:i w:val="false"/>
          <w:color w:val="000000"/>
          <w:sz w:val="28"/>
        </w:rPr>
        <w:t>
      Примерами медицинских изделий, предназначенных для использования непрофессиональными пользователями по месту нахождения пациента и относящихся к классу 3, могут являться:</w:t>
      </w:r>
    </w:p>
    <w:bookmarkEnd w:id="236"/>
    <w:bookmarkStart w:name="z245" w:id="237"/>
    <w:p>
      <w:pPr>
        <w:spacing w:after="0"/>
        <w:ind w:left="0"/>
        <w:jc w:val="both"/>
      </w:pPr>
      <w:r>
        <w:rPr>
          <w:rFonts w:ascii="Times New Roman"/>
          <w:b w:val="false"/>
          <w:i w:val="false"/>
          <w:color w:val="000000"/>
          <w:sz w:val="28"/>
        </w:rPr>
        <w:t>
      экспресс-тест для выявления маркеров вируса иммунодефицита человека;</w:t>
      </w:r>
    </w:p>
    <w:bookmarkEnd w:id="237"/>
    <w:bookmarkStart w:name="z246" w:id="238"/>
    <w:p>
      <w:pPr>
        <w:spacing w:after="0"/>
        <w:ind w:left="0"/>
        <w:jc w:val="both"/>
      </w:pPr>
      <w:r>
        <w:rPr>
          <w:rFonts w:ascii="Times New Roman"/>
          <w:b w:val="false"/>
          <w:i w:val="false"/>
          <w:color w:val="000000"/>
          <w:sz w:val="28"/>
        </w:rPr>
        <w:t>
      реагенты для исследования на совместимость по системе АВ0, предназначенные для использования по месту нахождения реципиента в качестве меры предосторожности против переливания крови, несовместимой по системе АВ0.</w:t>
      </w:r>
    </w:p>
    <w:bookmarkEnd w:id="238"/>
    <w:bookmarkStart w:name="z247" w:id="239"/>
    <w:p>
      <w:pPr>
        <w:spacing w:after="0"/>
        <w:ind w:left="0"/>
        <w:jc w:val="both"/>
      </w:pPr>
      <w:r>
        <w:rPr>
          <w:rFonts w:ascii="Times New Roman"/>
          <w:b w:val="false"/>
          <w:i w:val="false"/>
          <w:color w:val="000000"/>
          <w:sz w:val="28"/>
        </w:rPr>
        <w:t>
      Примерами медицинских изделий, предназначенных для использования непрофессиональными пользователями по месту нахождения пациента и относящихся к классу 2б, могут являться:</w:t>
      </w:r>
    </w:p>
    <w:bookmarkEnd w:id="239"/>
    <w:bookmarkStart w:name="z248" w:id="240"/>
    <w:p>
      <w:pPr>
        <w:spacing w:after="0"/>
        <w:ind w:left="0"/>
        <w:jc w:val="both"/>
      </w:pPr>
      <w:r>
        <w:rPr>
          <w:rFonts w:ascii="Times New Roman"/>
          <w:b w:val="false"/>
          <w:i w:val="false"/>
          <w:color w:val="000000"/>
          <w:sz w:val="28"/>
        </w:rPr>
        <w:t>
      реагенты для измерения уровня глюкозы в крови для мониторинга состояния пациента;</w:t>
      </w:r>
    </w:p>
    <w:bookmarkEnd w:id="240"/>
    <w:bookmarkStart w:name="z249" w:id="241"/>
    <w:p>
      <w:pPr>
        <w:spacing w:after="0"/>
        <w:ind w:left="0"/>
        <w:jc w:val="both"/>
      </w:pPr>
      <w:r>
        <w:rPr>
          <w:rFonts w:ascii="Times New Roman"/>
          <w:b w:val="false"/>
          <w:i w:val="false"/>
          <w:color w:val="000000"/>
          <w:sz w:val="28"/>
        </w:rPr>
        <w:t>
      реагенты для мониторинга сердечных маркеров у пациентов с острым течением болезни: тропонина I, тропонина T, КK-MB (если используется для мониторинга повреждения сердечной мышцы);</w:t>
      </w:r>
    </w:p>
    <w:bookmarkEnd w:id="241"/>
    <w:bookmarkStart w:name="z250" w:id="242"/>
    <w:p>
      <w:pPr>
        <w:spacing w:after="0"/>
        <w:ind w:left="0"/>
        <w:jc w:val="both"/>
      </w:pPr>
      <w:r>
        <w:rPr>
          <w:rFonts w:ascii="Times New Roman"/>
          <w:b w:val="false"/>
          <w:i w:val="false"/>
          <w:color w:val="000000"/>
          <w:sz w:val="28"/>
        </w:rPr>
        <w:t>
      экспресс-тест для выявления метициллин-резистентного золотистого стафилококка.</w:t>
      </w:r>
    </w:p>
    <w:bookmarkEnd w:id="242"/>
    <w:bookmarkStart w:name="z251" w:id="243"/>
    <w:p>
      <w:pPr>
        <w:spacing w:after="0"/>
        <w:ind w:left="0"/>
        <w:jc w:val="both"/>
      </w:pPr>
      <w:r>
        <w:rPr>
          <w:rFonts w:ascii="Times New Roman"/>
          <w:b w:val="false"/>
          <w:i w:val="false"/>
          <w:color w:val="000000"/>
          <w:sz w:val="28"/>
        </w:rPr>
        <w:t>
      Примерами медицинских изделий, предназначенных для использования непрофессиональными пользователями по месту нахождения пациента и относящихся к классу 2а, могут являться:</w:t>
      </w:r>
    </w:p>
    <w:bookmarkEnd w:id="243"/>
    <w:bookmarkStart w:name="z252" w:id="244"/>
    <w:p>
      <w:pPr>
        <w:spacing w:after="0"/>
        <w:ind w:left="0"/>
        <w:jc w:val="both"/>
      </w:pPr>
      <w:r>
        <w:rPr>
          <w:rFonts w:ascii="Times New Roman"/>
          <w:b w:val="false"/>
          <w:i w:val="false"/>
          <w:color w:val="000000"/>
          <w:sz w:val="28"/>
        </w:rPr>
        <w:t>
      полоска для анализа мочи для определения инфекции мочевыводящих путей;</w:t>
      </w:r>
    </w:p>
    <w:bookmarkEnd w:id="244"/>
    <w:bookmarkStart w:name="z253" w:id="245"/>
    <w:p>
      <w:pPr>
        <w:spacing w:after="0"/>
        <w:ind w:left="0"/>
        <w:jc w:val="both"/>
      </w:pPr>
      <w:r>
        <w:rPr>
          <w:rFonts w:ascii="Times New Roman"/>
          <w:b w:val="false"/>
          <w:i w:val="false"/>
          <w:color w:val="000000"/>
          <w:sz w:val="28"/>
        </w:rPr>
        <w:t>
      количественное исследование на гемоглобин как помощь в диагностике дефицита железа;</w:t>
      </w:r>
    </w:p>
    <w:bookmarkEnd w:id="245"/>
    <w:bookmarkStart w:name="z254" w:id="246"/>
    <w:p>
      <w:pPr>
        <w:spacing w:after="0"/>
        <w:ind w:left="0"/>
        <w:jc w:val="both"/>
      </w:pPr>
      <w:r>
        <w:rPr>
          <w:rFonts w:ascii="Times New Roman"/>
          <w:b w:val="false"/>
          <w:i w:val="false"/>
          <w:color w:val="000000"/>
          <w:sz w:val="28"/>
        </w:rPr>
        <w:t>
      экспресс-тесты для выявления стрептококка группы А, респираторно-синцитиального вируса и вируса(-ов) гриппа.</w:t>
      </w:r>
    </w:p>
    <w:bookmarkEnd w:id="246"/>
    <w:bookmarkStart w:name="z255" w:id="247"/>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39</w:t>
      </w:r>
      <w:r>
        <w:rPr>
          <w:rFonts w:ascii="Times New Roman"/>
          <w:b w:val="false"/>
          <w:i w:val="false"/>
          <w:color w:val="000000"/>
          <w:sz w:val="28"/>
        </w:rPr>
        <w:t xml:space="preserve"> Правил классификации медицинские изделия, которые не имеют измерительной функции, по своим объективным свойствам могут применяться как общелабораторные, но обладают специальными характеристиками, в соответствии с которыми предназначены производителем для использования в процедурах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(без указания конкретных видов лабораторных тестов (аналитов)), а также емкости для сбора и хранения образцов биологических проб относятся к классу 1.</w:t>
      </w:r>
    </w:p>
    <w:bookmarkEnd w:id="247"/>
    <w:bookmarkStart w:name="z256" w:id="248"/>
    <w:p>
      <w:pPr>
        <w:spacing w:after="0"/>
        <w:ind w:left="0"/>
        <w:jc w:val="both"/>
      </w:pPr>
      <w:r>
        <w:rPr>
          <w:rFonts w:ascii="Times New Roman"/>
          <w:b w:val="false"/>
          <w:i w:val="false"/>
          <w:color w:val="000000"/>
          <w:sz w:val="28"/>
        </w:rPr>
        <w:t>
      Примерами таких медицинских изделий могут являться:</w:t>
      </w:r>
    </w:p>
    <w:bookmarkEnd w:id="248"/>
    <w:bookmarkStart w:name="z257" w:id="249"/>
    <w:p>
      <w:pPr>
        <w:spacing w:after="0"/>
        <w:ind w:left="0"/>
        <w:jc w:val="both"/>
      </w:pPr>
      <w:r>
        <w:rPr>
          <w:rFonts w:ascii="Times New Roman"/>
          <w:b w:val="false"/>
          <w:i w:val="false"/>
          <w:color w:val="000000"/>
          <w:sz w:val="28"/>
        </w:rPr>
        <w:t>
      микробиологические питательные среды общего назначения, содержащие селективные агенты, хромогенные агенты, химические индикаторы для цветовой дифференциации;</w:t>
      </w:r>
    </w:p>
    <w:bookmarkEnd w:id="249"/>
    <w:bookmarkStart w:name="z258" w:id="250"/>
    <w:p>
      <w:pPr>
        <w:spacing w:after="0"/>
        <w:ind w:left="0"/>
        <w:jc w:val="both"/>
      </w:pPr>
      <w:r>
        <w:rPr>
          <w:rFonts w:ascii="Times New Roman"/>
          <w:b w:val="false"/>
          <w:i w:val="false"/>
          <w:color w:val="000000"/>
          <w:sz w:val="28"/>
        </w:rPr>
        <w:t>
      растворы, такие как моющие и очищающие, буферные растворы, лизирующие растворы, разбавители, предназначенные для использования с анализаторами;</w:t>
      </w:r>
    </w:p>
    <w:bookmarkEnd w:id="250"/>
    <w:bookmarkStart w:name="z259" w:id="251"/>
    <w:p>
      <w:pPr>
        <w:spacing w:after="0"/>
        <w:ind w:left="0"/>
        <w:jc w:val="both"/>
      </w:pPr>
      <w:r>
        <w:rPr>
          <w:rFonts w:ascii="Times New Roman"/>
          <w:b w:val="false"/>
          <w:i w:val="false"/>
          <w:color w:val="000000"/>
          <w:sz w:val="28"/>
        </w:rPr>
        <w:t xml:space="preserve">
      пипетка с фиксированным объемом, специально предназначенная для исследования с определенным образцом биологического материала человека, например, пипетки для анализатора свертывания крови с автоматическим отсчетом времени; </w:t>
      </w:r>
    </w:p>
    <w:bookmarkEnd w:id="251"/>
    <w:bookmarkStart w:name="z260" w:id="252"/>
    <w:p>
      <w:pPr>
        <w:spacing w:after="0"/>
        <w:ind w:left="0"/>
        <w:jc w:val="both"/>
      </w:pPr>
      <w:r>
        <w:rPr>
          <w:rFonts w:ascii="Times New Roman"/>
          <w:b w:val="false"/>
          <w:i w:val="false"/>
          <w:color w:val="000000"/>
          <w:sz w:val="28"/>
        </w:rPr>
        <w:t xml:space="preserve">
      контейнеры для образцов или вакуумированные или не вакуумные пробирки, пустые или предварительно заполненные фиксирующим раствором или другим реагентом для стабилизации или модификации пробы, транспортировки, хранения и сбора биологических образцов (например, клеток, образцов тканей, мочи, фекалий) для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252"/>
    <w:bookmarkStart w:name="z261" w:id="253"/>
    <w:p>
      <w:pPr>
        <w:spacing w:after="0"/>
        <w:ind w:left="0"/>
        <w:jc w:val="both"/>
      </w:pPr>
      <w:r>
        <w:rPr>
          <w:rFonts w:ascii="Times New Roman"/>
          <w:b w:val="false"/>
          <w:i w:val="false"/>
          <w:color w:val="000000"/>
          <w:sz w:val="28"/>
        </w:rPr>
        <w:t xml:space="preserve">
      23.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Правил классификации медицинские изделия, в отношении которых не применяются пункты 35 – 39 Правил классификации, в том числе для диагностики редко встречающихся инфекционных агентов при отсутствии риска того, что ошибочный результат может стать причиной инвалидности или смерти пациента, контрольные материалы без количественно или качественно заданных значений, аналитические приборы (анализаторы) с измерительной функцией с нефиксированным перечнем выполняемых лабораторных исследований, который зависит от применяемых наборов реагентов (тест-систем), относятся к классу 2а. Взаимозависимость прибора и используемых реагентов, как правило, не позволяет оценивать прибор отдельно, но это не влияет на отнесение его к классу 2а.</w:t>
      </w:r>
    </w:p>
    <w:bookmarkEnd w:id="253"/>
    <w:bookmarkStart w:name="z262" w:id="254"/>
    <w:p>
      <w:pPr>
        <w:spacing w:after="0"/>
        <w:ind w:left="0"/>
        <w:jc w:val="both"/>
      </w:pPr>
      <w:r>
        <w:rPr>
          <w:rFonts w:ascii="Times New Roman"/>
          <w:b w:val="false"/>
          <w:i w:val="false"/>
          <w:color w:val="000000"/>
          <w:sz w:val="28"/>
        </w:rPr>
        <w:t>
      Ошибочный результат, полученный в результате работы с указанными медицинскими изделиями, не окажет существенное негативное влияние на исход пациента, не приведет к смерти или серьезной инвалидности, или не подвергнет человека непосредственной опасности.</w:t>
      </w:r>
    </w:p>
    <w:bookmarkEnd w:id="254"/>
    <w:bookmarkStart w:name="z263" w:id="255"/>
    <w:p>
      <w:pPr>
        <w:spacing w:after="0"/>
        <w:ind w:left="0"/>
        <w:jc w:val="both"/>
      </w:pPr>
      <w:r>
        <w:rPr>
          <w:rFonts w:ascii="Times New Roman"/>
          <w:b w:val="false"/>
          <w:i w:val="false"/>
          <w:color w:val="000000"/>
          <w:sz w:val="28"/>
        </w:rPr>
        <w:t>
      Данная норма распространяется, как правило, на медицинские изделия, используемые для проведения клинических химических исследований на гормоны, витамины, ферменты, метаболические маркеры, электролиты и субстраты, антитела, антигены, а также большинства иммуногистохимических анализов анатомической патологии. К таким медицинским изделиям относятся также медицинские изделия, которые выявляют инфекционные агенты, представляющие умеренный риск для человека с низкой вероятностью распространения.</w:t>
      </w:r>
    </w:p>
    <w:bookmarkEnd w:id="255"/>
    <w:bookmarkStart w:name="z264" w:id="256"/>
    <w:p>
      <w:pPr>
        <w:spacing w:after="0"/>
        <w:ind w:left="0"/>
        <w:jc w:val="both"/>
      </w:pPr>
      <w:r>
        <w:rPr>
          <w:rFonts w:ascii="Times New Roman"/>
          <w:b w:val="false"/>
          <w:i w:val="false"/>
          <w:color w:val="000000"/>
          <w:sz w:val="28"/>
        </w:rPr>
        <w:t xml:space="preserve">
      Указанная норма применяется к анализаторам с измерительной функцией с нефиксированным перечнем выполняемых лабораторных исследований, специально предназначенным производителем для диагностических процедур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тогда как реагенты и наборы к ним классифицируются самостоятельно. </w:t>
      </w:r>
    </w:p>
    <w:bookmarkEnd w:id="256"/>
    <w:bookmarkStart w:name="z265" w:id="257"/>
    <w:p>
      <w:pPr>
        <w:spacing w:after="0"/>
        <w:ind w:left="0"/>
        <w:jc w:val="both"/>
      </w:pPr>
      <w:r>
        <w:rPr>
          <w:rFonts w:ascii="Times New Roman"/>
          <w:b w:val="false"/>
          <w:i w:val="false"/>
          <w:color w:val="000000"/>
          <w:sz w:val="28"/>
        </w:rPr>
        <w:t>
      Примерами медицинских изделий, относящихся к пункту 40 Правил классификации, могут являться:</w:t>
      </w:r>
    </w:p>
    <w:bookmarkEnd w:id="257"/>
    <w:bookmarkStart w:name="z266" w:id="258"/>
    <w:p>
      <w:pPr>
        <w:spacing w:after="0"/>
        <w:ind w:left="0"/>
        <w:jc w:val="both"/>
      </w:pPr>
      <w:r>
        <w:rPr>
          <w:rFonts w:ascii="Times New Roman"/>
          <w:b w:val="false"/>
          <w:i w:val="false"/>
          <w:color w:val="000000"/>
          <w:sz w:val="28"/>
        </w:rPr>
        <w:t>
      медицинское изделие, предназначенное для обнаружения и измерения магния для оценки гомеостаза электролита (магния);</w:t>
      </w:r>
    </w:p>
    <w:bookmarkEnd w:id="258"/>
    <w:bookmarkStart w:name="z267" w:id="259"/>
    <w:p>
      <w:pPr>
        <w:spacing w:after="0"/>
        <w:ind w:left="0"/>
        <w:jc w:val="both"/>
      </w:pPr>
      <w:r>
        <w:rPr>
          <w:rFonts w:ascii="Times New Roman"/>
          <w:b w:val="false"/>
          <w:i w:val="false"/>
          <w:color w:val="000000"/>
          <w:sz w:val="28"/>
        </w:rPr>
        <w:t>
      набор реагентов, предназначенный для обнаружения и измерения С-реактивного белка или кальпротектина для выявления системных воспалительных процессов, вызванных активным заболеванием;</w:t>
      </w:r>
    </w:p>
    <w:bookmarkEnd w:id="259"/>
    <w:bookmarkStart w:name="z268" w:id="260"/>
    <w:p>
      <w:pPr>
        <w:spacing w:after="0"/>
        <w:ind w:left="0"/>
        <w:jc w:val="both"/>
      </w:pPr>
      <w:r>
        <w:rPr>
          <w:rFonts w:ascii="Times New Roman"/>
          <w:b w:val="false"/>
          <w:i w:val="false"/>
          <w:color w:val="000000"/>
          <w:sz w:val="28"/>
        </w:rPr>
        <w:t>
      набор реагентов для биохимического исследования в целях идентификации изолятов микробиологических культур или для определения чувствительности изолятов микробиологических культур к противомикробным препаратам, за исключением тех, которые позволяют идентифицировать или определить минимальную ингибирующую концентрацию, связанную с опасным для жизни состоянием;</w:t>
      </w:r>
    </w:p>
    <w:bookmarkEnd w:id="260"/>
    <w:bookmarkStart w:name="z269" w:id="261"/>
    <w:p>
      <w:pPr>
        <w:spacing w:after="0"/>
        <w:ind w:left="0"/>
        <w:jc w:val="both"/>
      </w:pPr>
      <w:r>
        <w:rPr>
          <w:rFonts w:ascii="Times New Roman"/>
          <w:b w:val="false"/>
          <w:i w:val="false"/>
          <w:color w:val="000000"/>
          <w:sz w:val="28"/>
        </w:rPr>
        <w:t xml:space="preserve">
      экспресс-тесты на выявление антител IgG к </w:t>
      </w:r>
      <w:r>
        <w:rPr>
          <w:rFonts w:ascii="Times New Roman"/>
          <w:b w:val="false"/>
          <w:i/>
          <w:color w:val="000000"/>
          <w:sz w:val="28"/>
        </w:rPr>
        <w:t>Helicobacter</w:t>
      </w:r>
      <w:r>
        <w:rPr>
          <w:rFonts w:ascii="Times New Roman"/>
          <w:b w:val="false"/>
          <w:i w:val="false"/>
          <w:color w:val="000000"/>
          <w:sz w:val="28"/>
        </w:rPr>
        <w:t xml:space="preserve"> </w:t>
      </w:r>
      <w:r>
        <w:rPr>
          <w:rFonts w:ascii="Times New Roman"/>
          <w:b w:val="false"/>
          <w:i/>
          <w:color w:val="000000"/>
          <w:sz w:val="28"/>
        </w:rPr>
        <w:t>pylori</w:t>
      </w:r>
      <w:r>
        <w:rPr>
          <w:rFonts w:ascii="Times New Roman"/>
          <w:b w:val="false"/>
          <w:i w:val="false"/>
          <w:color w:val="000000"/>
          <w:sz w:val="28"/>
        </w:rPr>
        <w:t xml:space="preserve">, </w:t>
      </w:r>
      <w:r>
        <w:rPr>
          <w:rFonts w:ascii="Times New Roman"/>
          <w:b w:val="false"/>
          <w:i/>
          <w:color w:val="000000"/>
          <w:sz w:val="28"/>
        </w:rPr>
        <w:t>Clostridium</w:t>
      </w:r>
      <w:r>
        <w:rPr>
          <w:rFonts w:ascii="Times New Roman"/>
          <w:b w:val="false"/>
          <w:i w:val="false"/>
          <w:color w:val="000000"/>
          <w:sz w:val="28"/>
        </w:rPr>
        <w:t xml:space="preserve"> </w:t>
      </w:r>
      <w:r>
        <w:rPr>
          <w:rFonts w:ascii="Times New Roman"/>
          <w:b w:val="false"/>
          <w:i/>
          <w:color w:val="000000"/>
          <w:sz w:val="28"/>
        </w:rPr>
        <w:t>difficile</w:t>
      </w:r>
      <w:r>
        <w:rPr>
          <w:rFonts w:ascii="Times New Roman"/>
          <w:b w:val="false"/>
          <w:i w:val="false"/>
          <w:color w:val="000000"/>
          <w:sz w:val="28"/>
        </w:rPr>
        <w:t xml:space="preserve">, аденовируса, ротавируса и </w:t>
      </w:r>
      <w:r>
        <w:rPr>
          <w:rFonts w:ascii="Times New Roman"/>
          <w:b w:val="false"/>
          <w:i/>
          <w:color w:val="000000"/>
          <w:sz w:val="28"/>
        </w:rPr>
        <w:t>Giardia</w:t>
      </w:r>
      <w:r>
        <w:rPr>
          <w:rFonts w:ascii="Times New Roman"/>
          <w:b w:val="false"/>
          <w:i w:val="false"/>
          <w:color w:val="000000"/>
          <w:sz w:val="28"/>
        </w:rPr>
        <w:t xml:space="preserve"> </w:t>
      </w:r>
      <w:r>
        <w:rPr>
          <w:rFonts w:ascii="Times New Roman"/>
          <w:b w:val="false"/>
          <w:i/>
          <w:color w:val="000000"/>
          <w:sz w:val="28"/>
        </w:rPr>
        <w:t>lamblia</w:t>
      </w:r>
      <w:r>
        <w:rPr>
          <w:rFonts w:ascii="Times New Roman"/>
          <w:b w:val="false"/>
          <w:i w:val="false"/>
          <w:color w:val="000000"/>
          <w:sz w:val="28"/>
        </w:rPr>
        <w:t>;</w:t>
      </w:r>
    </w:p>
    <w:bookmarkEnd w:id="261"/>
    <w:bookmarkStart w:name="z270" w:id="262"/>
    <w:p>
      <w:pPr>
        <w:spacing w:after="0"/>
        <w:ind w:left="0"/>
        <w:jc w:val="both"/>
      </w:pPr>
      <w:r>
        <w:rPr>
          <w:rFonts w:ascii="Times New Roman"/>
          <w:b w:val="false"/>
          <w:i w:val="false"/>
          <w:color w:val="000000"/>
          <w:sz w:val="28"/>
        </w:rPr>
        <w:t>
      антитифозные антисальмонеллезные антитела для выявления контакта с инфекционным агентом;</w:t>
      </w:r>
    </w:p>
    <w:bookmarkEnd w:id="262"/>
    <w:bookmarkStart w:name="z271" w:id="263"/>
    <w:p>
      <w:pPr>
        <w:spacing w:after="0"/>
        <w:ind w:left="0"/>
        <w:jc w:val="both"/>
      </w:pPr>
      <w:r>
        <w:rPr>
          <w:rFonts w:ascii="Times New Roman"/>
          <w:b w:val="false"/>
          <w:i w:val="false"/>
          <w:color w:val="000000"/>
          <w:sz w:val="28"/>
        </w:rPr>
        <w:t>
      набор реагентов для определения уровня фолликулостимулирующего гормона (ФСГ) для определения фертильности;</w:t>
      </w:r>
    </w:p>
    <w:bookmarkEnd w:id="263"/>
    <w:bookmarkStart w:name="z272" w:id="264"/>
    <w:p>
      <w:pPr>
        <w:spacing w:after="0"/>
        <w:ind w:left="0"/>
        <w:jc w:val="both"/>
      </w:pPr>
      <w:r>
        <w:rPr>
          <w:rFonts w:ascii="Times New Roman"/>
          <w:b w:val="false"/>
          <w:i w:val="false"/>
          <w:color w:val="000000"/>
          <w:sz w:val="28"/>
        </w:rPr>
        <w:t>
      набор реагентов для определения концентрации лютеинизирующего гормона (ЛГ) в сыворотке или плазме крови человека методом иммунорадиометрического анализа;</w:t>
      </w:r>
    </w:p>
    <w:bookmarkEnd w:id="264"/>
    <w:bookmarkStart w:name="z273" w:id="265"/>
    <w:p>
      <w:pPr>
        <w:spacing w:after="0"/>
        <w:ind w:left="0"/>
        <w:jc w:val="both"/>
      </w:pPr>
      <w:r>
        <w:rPr>
          <w:rFonts w:ascii="Times New Roman"/>
          <w:b w:val="false"/>
          <w:i w:val="false"/>
          <w:color w:val="000000"/>
          <w:sz w:val="28"/>
        </w:rPr>
        <w:t>
      набор реагентов для количественного определения адренокортикотропного гормона (АКТГ, АСТН) в сыворотке и плазме крови человека методом иммунохемилюминесцентного анализа;</w:t>
      </w:r>
    </w:p>
    <w:bookmarkEnd w:id="265"/>
    <w:bookmarkStart w:name="z274" w:id="266"/>
    <w:p>
      <w:pPr>
        <w:spacing w:after="0"/>
        <w:ind w:left="0"/>
        <w:jc w:val="both"/>
      </w:pPr>
      <w:r>
        <w:rPr>
          <w:rFonts w:ascii="Times New Roman"/>
          <w:b w:val="false"/>
          <w:i w:val="false"/>
          <w:color w:val="000000"/>
          <w:sz w:val="28"/>
        </w:rPr>
        <w:t xml:space="preserve">
      набор реагентов для обнаружения антител IgG к </w:t>
      </w:r>
      <w:r>
        <w:rPr>
          <w:rFonts w:ascii="Times New Roman"/>
          <w:b w:val="false"/>
          <w:i/>
          <w:color w:val="000000"/>
          <w:sz w:val="28"/>
        </w:rPr>
        <w:t>Candida</w:t>
      </w:r>
      <w:r>
        <w:rPr>
          <w:rFonts w:ascii="Times New Roman"/>
          <w:b w:val="false"/>
          <w:i w:val="false"/>
          <w:color w:val="000000"/>
          <w:sz w:val="28"/>
        </w:rPr>
        <w:t xml:space="preserve"> </w:t>
      </w:r>
      <w:r>
        <w:rPr>
          <w:rFonts w:ascii="Times New Roman"/>
          <w:b w:val="false"/>
          <w:i/>
          <w:color w:val="000000"/>
          <w:sz w:val="28"/>
        </w:rPr>
        <w:t>albicans</w:t>
      </w:r>
      <w:r>
        <w:rPr>
          <w:rFonts w:ascii="Times New Roman"/>
          <w:b w:val="false"/>
          <w:i w:val="false"/>
          <w:color w:val="000000"/>
          <w:sz w:val="28"/>
        </w:rPr>
        <w:t>;</w:t>
      </w:r>
    </w:p>
    <w:bookmarkEnd w:id="266"/>
    <w:bookmarkStart w:name="z275" w:id="267"/>
    <w:p>
      <w:pPr>
        <w:spacing w:after="0"/>
        <w:ind w:left="0"/>
        <w:jc w:val="both"/>
      </w:pPr>
      <w:r>
        <w:rPr>
          <w:rFonts w:ascii="Times New Roman"/>
          <w:b w:val="false"/>
          <w:i w:val="false"/>
          <w:color w:val="000000"/>
          <w:sz w:val="28"/>
        </w:rPr>
        <w:t xml:space="preserve">
      набор реагентов для обнаружения антител IgG к </w:t>
      </w:r>
      <w:r>
        <w:rPr>
          <w:rFonts w:ascii="Times New Roman"/>
          <w:b w:val="false"/>
          <w:i/>
          <w:color w:val="000000"/>
          <w:sz w:val="28"/>
        </w:rPr>
        <w:t>Entamoeba</w:t>
      </w:r>
      <w:r>
        <w:rPr>
          <w:rFonts w:ascii="Times New Roman"/>
          <w:b w:val="false"/>
          <w:i w:val="false"/>
          <w:color w:val="000000"/>
          <w:sz w:val="28"/>
        </w:rPr>
        <w:t xml:space="preserve"> </w:t>
      </w:r>
      <w:r>
        <w:rPr>
          <w:rFonts w:ascii="Times New Roman"/>
          <w:b w:val="false"/>
          <w:i/>
          <w:color w:val="000000"/>
          <w:sz w:val="28"/>
        </w:rPr>
        <w:t>histolytica</w:t>
      </w:r>
      <w:r>
        <w:rPr>
          <w:rFonts w:ascii="Times New Roman"/>
          <w:b w:val="false"/>
          <w:i w:val="false"/>
          <w:color w:val="000000"/>
          <w:sz w:val="28"/>
        </w:rPr>
        <w:t xml:space="preserve"> или воздействия на нее;</w:t>
      </w:r>
    </w:p>
    <w:bookmarkEnd w:id="267"/>
    <w:bookmarkStart w:name="z276" w:id="268"/>
    <w:p>
      <w:pPr>
        <w:spacing w:after="0"/>
        <w:ind w:left="0"/>
        <w:jc w:val="both"/>
      </w:pPr>
      <w:r>
        <w:rPr>
          <w:rFonts w:ascii="Times New Roman"/>
          <w:b w:val="false"/>
          <w:i w:val="false"/>
          <w:color w:val="000000"/>
          <w:sz w:val="28"/>
        </w:rPr>
        <w:t>
      набор реагентов для обнаружения аутоантител (например, анти-sm/RNP и анти-SSA/Ro), связанных с системной красной волчанкой, антинейтрофильных цитоплазматических антител при системном васкулите), антител против аквапорина-4 при заболеваниях спектра оптиконейромиелита или органоспецифических аутоиммунных заболеваниях (например, антитела к инсулину при инсулинозависимом диабете);</w:t>
      </w:r>
    </w:p>
    <w:bookmarkEnd w:id="268"/>
    <w:bookmarkStart w:name="z277" w:id="269"/>
    <w:p>
      <w:pPr>
        <w:spacing w:after="0"/>
        <w:ind w:left="0"/>
        <w:jc w:val="both"/>
      </w:pPr>
      <w:r>
        <w:rPr>
          <w:rFonts w:ascii="Times New Roman"/>
          <w:b w:val="false"/>
          <w:i w:val="false"/>
          <w:color w:val="000000"/>
          <w:sz w:val="28"/>
        </w:rPr>
        <w:t>
      экспресс-тесты на антитела IgG к вирусу гепатита А, вирусам Денге, Чикунгунья и Западного Нила;</w:t>
      </w:r>
    </w:p>
    <w:bookmarkEnd w:id="269"/>
    <w:bookmarkStart w:name="z278" w:id="270"/>
    <w:p>
      <w:pPr>
        <w:spacing w:after="0"/>
        <w:ind w:left="0"/>
        <w:jc w:val="both"/>
      </w:pPr>
      <w:r>
        <w:rPr>
          <w:rFonts w:ascii="Times New Roman"/>
          <w:b w:val="false"/>
          <w:i w:val="false"/>
          <w:color w:val="000000"/>
          <w:sz w:val="28"/>
        </w:rPr>
        <w:t>
      набор реагентов для обнаружения антител IgG против HEV;</w:t>
      </w:r>
    </w:p>
    <w:bookmarkEnd w:id="270"/>
    <w:bookmarkStart w:name="z279" w:id="271"/>
    <w:p>
      <w:pPr>
        <w:spacing w:after="0"/>
        <w:ind w:left="0"/>
        <w:jc w:val="both"/>
      </w:pPr>
      <w:r>
        <w:rPr>
          <w:rFonts w:ascii="Times New Roman"/>
          <w:b w:val="false"/>
          <w:i w:val="false"/>
          <w:color w:val="000000"/>
          <w:sz w:val="28"/>
        </w:rPr>
        <w:t>
      набор реагентов для выявления непандемических штаммов вирусов гриппа А и гриппа В;</w:t>
      </w:r>
    </w:p>
    <w:bookmarkEnd w:id="271"/>
    <w:bookmarkStart w:name="z280" w:id="272"/>
    <w:p>
      <w:pPr>
        <w:spacing w:after="0"/>
        <w:ind w:left="0"/>
        <w:jc w:val="both"/>
      </w:pPr>
      <w:r>
        <w:rPr>
          <w:rFonts w:ascii="Times New Roman"/>
          <w:b w:val="false"/>
          <w:i w:val="false"/>
          <w:color w:val="000000"/>
          <w:sz w:val="28"/>
        </w:rPr>
        <w:t>
      иммуноферментный анализатор, термоциклер (амплификатор), секвенатор для высокопроизводительного секвенирования нового поколения (NGS), анализатор клинической химии, гематологический анализатор;</w:t>
      </w:r>
    </w:p>
    <w:bookmarkEnd w:id="272"/>
    <w:bookmarkStart w:name="z281" w:id="273"/>
    <w:p>
      <w:pPr>
        <w:spacing w:after="0"/>
        <w:ind w:left="0"/>
        <w:jc w:val="both"/>
      </w:pPr>
      <w:r>
        <w:rPr>
          <w:rFonts w:ascii="Times New Roman"/>
          <w:b w:val="false"/>
          <w:i w:val="false"/>
          <w:color w:val="000000"/>
          <w:sz w:val="28"/>
        </w:rPr>
        <w:t>
      экспресс-тест для выявления наркотических веществ в моче иммунохроматографическим методом для качественного одновременного определения 6 видов наркотических веществ: амфетамина, барбитуратов, бензодиазепинов, опиатов, марихуаны и метадона.</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Примеры классификации медицинских изделий, используемых в сочетании,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настоящим Методическим рекомендациям.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Методическим рекомендациям </w:t>
            </w:r>
            <w:r>
              <w:br/>
            </w:r>
            <w:r>
              <w:rPr>
                <w:rFonts w:ascii="Times New Roman"/>
                <w:b w:val="false"/>
                <w:i w:val="false"/>
                <w:color w:val="000000"/>
                <w:sz w:val="20"/>
              </w:rPr>
              <w:t>по классификации медицинских</w:t>
            </w:r>
            <w:r>
              <w:br/>
            </w:r>
            <w:r>
              <w:rPr>
                <w:rFonts w:ascii="Times New Roman"/>
                <w:b w:val="false"/>
                <w:i w:val="false"/>
                <w:color w:val="000000"/>
                <w:sz w:val="20"/>
              </w:rPr>
              <w:t xml:space="preserve">изделий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br/>
            </w:r>
            <w:r>
              <w:rPr>
                <w:rFonts w:ascii="Times New Roman"/>
                <w:b w:val="false"/>
                <w:i w:val="false"/>
                <w:color w:val="000000"/>
                <w:sz w:val="20"/>
              </w:rPr>
              <w:t>в зависимости от</w:t>
            </w:r>
            <w:r>
              <w:br/>
            </w:r>
            <w:r>
              <w:rPr>
                <w:rFonts w:ascii="Times New Roman"/>
                <w:b w:val="false"/>
                <w:i w:val="false"/>
                <w:color w:val="000000"/>
                <w:sz w:val="20"/>
              </w:rPr>
              <w:t>потенциального риска</w:t>
            </w:r>
            <w:r>
              <w:br/>
            </w:r>
            <w:r>
              <w:rPr>
                <w:rFonts w:ascii="Times New Roman"/>
                <w:b w:val="false"/>
                <w:i w:val="false"/>
                <w:color w:val="000000"/>
                <w:sz w:val="20"/>
              </w:rPr>
              <w:t>применения в целях их</w:t>
            </w:r>
            <w:r>
              <w:br/>
            </w:r>
            <w:r>
              <w:rPr>
                <w:rFonts w:ascii="Times New Roman"/>
                <w:b w:val="false"/>
                <w:i w:val="false"/>
                <w:color w:val="000000"/>
                <w:sz w:val="20"/>
              </w:rPr>
              <w:t>регистрации в рамках</w:t>
            </w:r>
            <w:r>
              <w:br/>
            </w:r>
            <w:r>
              <w:rPr>
                <w:rFonts w:ascii="Times New Roman"/>
                <w:b w:val="false"/>
                <w:i w:val="false"/>
                <w:color w:val="000000"/>
                <w:sz w:val="20"/>
              </w:rPr>
              <w:t>Евразийского экономического союза</w:t>
            </w:r>
          </w:p>
        </w:tc>
      </w:tr>
    </w:tbl>
    <w:bookmarkStart w:name="z284" w:id="274"/>
    <w:p>
      <w:pPr>
        <w:spacing w:after="0"/>
        <w:ind w:left="0"/>
        <w:jc w:val="left"/>
      </w:pPr>
      <w:r>
        <w:rPr>
          <w:rFonts w:ascii="Times New Roman"/>
          <w:b/>
          <w:i w:val="false"/>
          <w:color w:val="000000"/>
        </w:rPr>
        <w:t xml:space="preserve"> ПРИМЕРЫ</w:t>
      </w:r>
      <w:r>
        <w:br/>
      </w:r>
      <w:r>
        <w:rPr>
          <w:rFonts w:ascii="Times New Roman"/>
          <w:b/>
          <w:i w:val="false"/>
          <w:color w:val="000000"/>
        </w:rPr>
        <w:t xml:space="preserve">классификации медицинских изделий для диагностики in vitro, используемых в сочетании </w:t>
      </w:r>
    </w:p>
    <w:bookmarkEnd w:id="274"/>
    <w:bookmarkStart w:name="z285" w:id="275"/>
    <w:p>
      <w:pPr>
        <w:spacing w:after="0"/>
        <w:ind w:left="0"/>
        <w:jc w:val="both"/>
      </w:pPr>
      <w:r>
        <w:rPr>
          <w:rFonts w:ascii="Times New Roman"/>
          <w:b w:val="false"/>
          <w:i w:val="false"/>
          <w:color w:val="000000"/>
          <w:sz w:val="28"/>
        </w:rPr>
        <w:t xml:space="preserve">
      1. Пример "Иммуноферментный анализ (ИФА) и анализатор", где анализатор и его программное обеспечение предназначены для проведения анализа и измерения выходных данных. </w:t>
      </w:r>
    </w:p>
    <w:bookmarkEnd w:id="275"/>
    <w:bookmarkStart w:name="z286" w:id="276"/>
    <w:p>
      <w:pPr>
        <w:spacing w:after="0"/>
        <w:ind w:left="0"/>
        <w:jc w:val="both"/>
      </w:pPr>
      <w:r>
        <w:rPr>
          <w:rFonts w:ascii="Times New Roman"/>
          <w:b w:val="false"/>
          <w:i w:val="false"/>
          <w:color w:val="000000"/>
          <w:sz w:val="28"/>
        </w:rPr>
        <w:t>
      Данный пример предназначен для иллюстрации того, как классификация зависит от предполагаемого назначения медицинского изделия, и акцентирует внимание на подходе, используемом при классификации медицинских изделий, используемых в сочетании.</w:t>
      </w:r>
    </w:p>
    <w:bookmarkEnd w:id="276"/>
    <w:bookmarkStart w:name="z287" w:id="277"/>
    <w:p>
      <w:pPr>
        <w:spacing w:after="0"/>
        <w:ind w:left="0"/>
        <w:jc w:val="both"/>
      </w:pPr>
      <w:r>
        <w:rPr>
          <w:rFonts w:ascii="Times New Roman"/>
          <w:b w:val="false"/>
          <w:i w:val="false"/>
          <w:color w:val="000000"/>
          <w:sz w:val="28"/>
        </w:rPr>
        <w:t>
      Перечень медицинских изделий, используемых в сочетании, и особенности их классификации для данного примера представлены в таблице 1.</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используемое в сочетании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и связанное с ним программное обеспечение, которые могут быть доступны отдельно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и программное обеспечение классифицируются как класс 2а (в соответствии с пунктом 40 Правил*), так как анализатор характеризуется измерительной функцией с нефиксированным перечнем выполняемых лабораторных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с вышеуказанным анализатором наборы реагентов, предназначенные для определения одного или нескольких аналитов классифицируются самостоятельно. Эти реагенты могут быть отнесены к классу 2а (пункт 40 Правил), 2б (например, подпункт "д" пункта 37 Правил) или 3 (пункт 35 Правил) в зависимости от предполагаемого назначения реагента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Калибраторы, предназначенные для калибровки реагентов для анализа ИФА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пунктом 34 Правил указанные калибраторы относятся к тому же классу, что и реагенты, для использования с которыми они предназначены (то есть могут быть отнесены к классу 2а, 2б или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материалы с присвоенными количественными или качественными значениями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тип контрольных материалов предназначен для использования в качестве контролей для определенного набора реагентов. В соответствии с пунктом 34 Правил такие контрольные материалы относятся к тому же классу, что и реагенты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материалы без присвоенных количественных или качественных значений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относятся к классу 2а в соответствии с пунктом 40 Правил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Буферные (промывочные) растворы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буферный (промывочный) раствор по своим объективным свойствам может применяться как общелабораторный, но обладает специальными характеристиками, то он относится к классу 1 (в соответствии с пунктом 39 Правил)</w:t>
            </w:r>
          </w:p>
        </w:tc>
      </w:tr>
    </w:tbl>
    <w:bookmarkStart w:name="z289" w:id="278"/>
    <w:p>
      <w:pPr>
        <w:spacing w:after="0"/>
        <w:ind w:left="0"/>
        <w:jc w:val="both"/>
      </w:pPr>
      <w:r>
        <w:rPr>
          <w:rFonts w:ascii="Times New Roman"/>
          <w:b w:val="false"/>
          <w:i w:val="false"/>
          <w:color w:val="000000"/>
          <w:sz w:val="28"/>
        </w:rPr>
        <w:t>
      _____________</w:t>
      </w:r>
    </w:p>
    <w:bookmarkEnd w:id="278"/>
    <w:bookmarkStart w:name="z290" w:id="279"/>
    <w:p>
      <w:pPr>
        <w:spacing w:after="0"/>
        <w:ind w:left="0"/>
        <w:jc w:val="both"/>
      </w:pPr>
      <w:r>
        <w:rPr>
          <w:rFonts w:ascii="Times New Roman"/>
          <w:b w:val="false"/>
          <w:i w:val="false"/>
          <w:color w:val="000000"/>
          <w:sz w:val="28"/>
        </w:rPr>
        <w:t>
      * Правила классификации медицинских изделий в зависимости от потенциального риска применения, утвержденные Решением Коллегии Евразийской экономической комиссии от 22 декабря 2015 г. № 173.</w:t>
      </w:r>
    </w:p>
    <w:bookmarkEnd w:id="279"/>
    <w:bookmarkStart w:name="z291" w:id="280"/>
    <w:p>
      <w:pPr>
        <w:spacing w:after="0"/>
        <w:ind w:left="0"/>
        <w:jc w:val="both"/>
      </w:pPr>
      <w:r>
        <w:rPr>
          <w:rFonts w:ascii="Times New Roman"/>
          <w:b w:val="false"/>
          <w:i w:val="false"/>
          <w:color w:val="000000"/>
          <w:sz w:val="28"/>
        </w:rPr>
        <w:t>
      2. Пример "Анализатор газов крови и наборы реагентов".</w:t>
      </w:r>
    </w:p>
    <w:bookmarkEnd w:id="280"/>
    <w:bookmarkStart w:name="z292" w:id="281"/>
    <w:p>
      <w:pPr>
        <w:spacing w:after="0"/>
        <w:ind w:left="0"/>
        <w:jc w:val="both"/>
      </w:pPr>
      <w:r>
        <w:rPr>
          <w:rFonts w:ascii="Times New Roman"/>
          <w:b w:val="false"/>
          <w:i w:val="false"/>
          <w:color w:val="000000"/>
          <w:sz w:val="28"/>
        </w:rPr>
        <w:t>
      Данный пример предназначен только для иллюстративных целей и не дает исчерпывающей классификации всех анализаторов газов крови и связанных с ними изделий.</w:t>
      </w:r>
    </w:p>
    <w:bookmarkEnd w:id="281"/>
    <w:bookmarkStart w:name="z293" w:id="282"/>
    <w:p>
      <w:pPr>
        <w:spacing w:after="0"/>
        <w:ind w:left="0"/>
        <w:jc w:val="both"/>
      </w:pPr>
      <w:r>
        <w:rPr>
          <w:rFonts w:ascii="Times New Roman"/>
          <w:b w:val="false"/>
          <w:i w:val="false"/>
          <w:color w:val="000000"/>
          <w:sz w:val="28"/>
        </w:rPr>
        <w:t>
      Перечень медицинских изделий, используемых в сочетании, и особенности их классификации для данного примера представлены в таблице 2.</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используемое в сочетании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газов крови и программное обеспечение, управляющее 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класс 2б (подпункт "з" пункта 37 Правил*). Данное правило применяется в случае, когда анализатор газов крови напрямую измеряет аналит в образце (без сенсорной кассеты или одноразового датчика), и где ошибочный результат измеренного параметра приведет к решению о ведении пациента, ведущему к опасной для жизни ситуации;</w:t>
            </w:r>
          </w:p>
          <w:bookmarkEnd w:id="283"/>
          <w:p>
            <w:pPr>
              <w:spacing w:after="20"/>
              <w:ind w:left="20"/>
              <w:jc w:val="both"/>
            </w:pPr>
            <w:r>
              <w:rPr>
                <w:rFonts w:ascii="Times New Roman"/>
                <w:b w:val="false"/>
                <w:i w:val="false"/>
                <w:color w:val="000000"/>
                <w:sz w:val="20"/>
              </w:rPr>
              <w:t>
класс 2а (пункт 40 Правил). Данное правило применяется в случае, когда анализатор газов крови напрямую измеряет аналит в образце (без сенсорной кассеты или одноразового датчика), и где ошибочный результат измерения параметра не приведет к решению о ведении пациента, которое приведет к опасной для жизни ситуации.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сенсорная кассета, датчик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класс 2б (подпункт "з" пункта 37 Правил). Данное правило применяется в случае, когда анализатор газов крови исследует образец с использованием сменной сенсорной кассеты и когда эти сенсорные кассеты измеряют, по крайней мере, один аналит, ошибочный результат которого приведет к принятию решения о ведении пациента, ведущему к опасной для жизни ситуации;</w:t>
            </w:r>
          </w:p>
          <w:bookmarkEnd w:id="284"/>
          <w:p>
            <w:pPr>
              <w:spacing w:after="20"/>
              <w:ind w:left="20"/>
              <w:jc w:val="both"/>
            </w:pPr>
            <w:r>
              <w:rPr>
                <w:rFonts w:ascii="Times New Roman"/>
                <w:b w:val="false"/>
                <w:i w:val="false"/>
                <w:color w:val="000000"/>
                <w:sz w:val="20"/>
              </w:rPr>
              <w:t>
класс 2а (пункт 40 Правил). Данное правило применяется в случае, когда анализатор газов крови исследует образец с использованием сменной сенсорной кассеты, когда ошибочный результат для измеряемых аналитов не приведет к принятию решения о ведении пациента, которое приведет к опасной для жизни ситуации.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Промывочный раствор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1 (пункт 39 Правил). Данное правило применяется в случае, если промывочный раствор по своим объективным свойствам может применяться как общелабораторный, но обладает специальными характеристиками, в соответствии с которыми предназначен производителем для использования в процедурах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относятся к тому же классу, что и изделие, с которым они используются. Калибраторы, которые используются для калибровки сенсорной кассеты, относятся к классу 2а или 2б в зависимости от классификации калибруемого изделия (сенсорная кассета).</w:t>
            </w:r>
          </w:p>
          <w:bookmarkEnd w:id="285"/>
          <w:p>
            <w:pPr>
              <w:spacing w:after="20"/>
              <w:ind w:left="20"/>
              <w:jc w:val="both"/>
            </w:pPr>
            <w:r>
              <w:rPr>
                <w:rFonts w:ascii="Times New Roman"/>
                <w:b w:val="false"/>
                <w:i w:val="false"/>
                <w:color w:val="000000"/>
                <w:sz w:val="20"/>
              </w:rPr>
              <w:t>
В случае если калибраторы используются для калибровки анализатора, который непосредственно измеряет образец без использования любой дополнительной одноразовой сенсорной кассеты, то калибратор относится к тому же классу, что и анализатор.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Контрольные материалы</w:t>
            </w:r>
          </w:p>
          <w:bookmarkEnd w:id="28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относятся к тому же классу, что и изделия, для которых они предназначены (например, сенсорная кассета).</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Если контрольный материал не имеет количественного или качественного заданного значения, он классифицируется как класс 2а (в соответствии с пунктом 40 Правил).</w:t>
            </w:r>
          </w:p>
          <w:p>
            <w:pPr>
              <w:spacing w:after="20"/>
              <w:ind w:left="20"/>
              <w:jc w:val="both"/>
            </w:pPr>
            <w:r>
              <w:rPr>
                <w:rFonts w:ascii="Times New Roman"/>
                <w:b w:val="false"/>
                <w:i w:val="false"/>
                <w:color w:val="000000"/>
                <w:sz w:val="20"/>
              </w:rPr>
              <w:t>
Если контрольные материалы используется как контроль правильности для анализатора, который непосредственно измеряет образец без использования какой-либо дополнительной сенсорной кассеты, контрольный материал относится к тому же классу, что и анализатор.</w:t>
            </w:r>
          </w:p>
        </w:tc>
      </w:tr>
    </w:tbl>
    <w:bookmarkStart w:name="z301" w:id="288"/>
    <w:p>
      <w:pPr>
        <w:spacing w:after="0"/>
        <w:ind w:left="0"/>
        <w:jc w:val="both"/>
      </w:pPr>
      <w:r>
        <w:rPr>
          <w:rFonts w:ascii="Times New Roman"/>
          <w:b w:val="false"/>
          <w:i w:val="false"/>
          <w:color w:val="000000"/>
          <w:sz w:val="28"/>
        </w:rPr>
        <w:t>
      _____________</w:t>
      </w:r>
    </w:p>
    <w:bookmarkEnd w:id="288"/>
    <w:bookmarkStart w:name="z302" w:id="289"/>
    <w:p>
      <w:pPr>
        <w:spacing w:after="0"/>
        <w:ind w:left="0"/>
        <w:jc w:val="both"/>
      </w:pPr>
      <w:r>
        <w:rPr>
          <w:rFonts w:ascii="Times New Roman"/>
          <w:b w:val="false"/>
          <w:i w:val="false"/>
          <w:color w:val="000000"/>
          <w:sz w:val="28"/>
        </w:rPr>
        <w:t>
      * Правила классификации медицинских изделий в зависимости от потенциального риска применения.</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