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189" w14:textId="bad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Руководство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сентября 2024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статьями 30 и 56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а также в целях обеспечения применения единых подходов к исчислению срока годности готовых лекарственных форм лекарственных препаратов для медицинского применения и ветеринарных лекарственных препаратов, выпускаемых в обращение на таможенной территории Евразийского экономического союза,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по истечении 180 календарных дней с даты опубликования настоящей Рекомендации на официальном сайте Евразийского экономического союза применять 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 (приложение к Рекомендации Коллегии Евразийской экономической комиссии от 26 февраля 2020 г. № 2) с учетом следующего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"ММ.ГГГГ или ММ/ГГГГ" заменить словами "ММ ГГГГ, ММ.ГГГГ, ММ/ГГГГ, ММ_ГГГГ или ММ ГГ, ММ.ГГ, ММ/ГГ, ММ_ГГ".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