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7189" w14:textId="bad7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Руководство по исчислению даты начала отсчета срока годности готовых лекарственных форм лекарственных препаратов для медицинского применения и ветеринарных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17 сентября 2024 года № 18.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статьями 30 и 56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года, а также в целях обеспечения применения единых подходов к исчислению срока годности готовых лекарственных форм лекарственных препаратов для медицинского применения и ветеринарных лекарственных препаратов, выпускаемых в обращение на таможенной территории Евразийского экономического союза,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 – членам Евразийского экономического союза по истечении 180 календарных дней с даты опубликования настоящей Рекомендации на официальном сайте Евразийского экономического союза применять </w:t>
      </w:r>
      <w:r>
        <w:rPr>
          <w:rFonts w:ascii="Times New Roman"/>
          <w:b w:val="false"/>
          <w:i w:val="false"/>
          <w:color w:val="000000"/>
          <w:sz w:val="28"/>
        </w:rPr>
        <w:t>Руководство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исчислению даты начала отсчета срока годности готовых лекарственных форм лекарственных препаратов для медицинского применения и ветеринарных лекарственных препаратов (приложение к Рекомендации Коллегии Евразийской экономической комиссии от 26 февраля 2020 г. № 2) с учетом следующего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"ММ.ГГГГ или ММ/ГГГГ" заменить словами "ММ ГГГГ, ММ.ГГГГ, ММ/ГГГГ, ММ_ГГГГ или ММ ГГ, ММ.ГГ, ММ/ГГ, ММ_ГГ".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