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0feb" w14:textId="dc30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мониторинге проведения оценки регулирующего воздействия проектов решений Евразийской экономической комиссии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4 июня 2024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2023 году, о внедрении механизма оценки фактического воздействия актов органов Евразийского экономического союза, имеющих нормативно-правовой характер, на условия ведения предпринимательской деятельности и о формировании правовой основы для проведения в Евразийском экономическом союзе процедуры оценки регулирующего воздействия проектов международных договоров в рамках Евразийского экономического союза, которые могут оказать влияние на условия ведения предпринимательской деятельности: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внедрению процедур проведения оценки фактического воздействия принятых решений Евразийской экономической комиссии и оценки регулирующего воздействия проектов международных договоров в рамках Евразийского экономического союза, которые могут оказать влияние на условия ведения предпринимательской деятельности;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2026 году на рассмотрение Евразийского межправительственного совета отчет о мониторинге проведения процедур оценки регулирующего воздействия проектов решений Евразийской экономической комиссии и проектов международных договоров в рамках Евразийского экономического союза и оценки фактического воздействия принятых решений Евразийской экономической комиссии (за 2024 - 2025 годы).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