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5bdd" w14:textId="9825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приоритетных интеграционных инфраструктурных проектов в сфере транспорта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 февраля 2024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 и 4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Договора о Евразийском экономическом союзе от 29 мая 2014 года,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6.1.5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26 августа 2022 г. № 19, а также в целях дальнейшего формирования единого транспортного пространства и координации развития транспортной инфраструктуры в рамках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интеграционных инфраструктурных проектов в сфере транспорта государств - членов Евразийского экономического союза, одобренный распоряжением Евразийского межправительственного совета от 26 августа 2022 г. № 19,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Развитие восточного международного транспортного коридора "Север - Юг" с модернизацией существующей железнодорожной инфраструктуры на участках "Орск - Кандыагаш - Макат - Бейнеу - Болашак", "Илецк-1 - Актобе", "Челябинск - Тобол - Никельтау", "Аксарайская - Макат", "Шалкар - Бейнеу - Мангыстау".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Развитие коридора "Россия - страны Центральной Азии": строительство железнодорожной линии "Дарбаза - Мактаарал"; строительство вторых железнодорожных путей на участке "Казалы - Арысь".";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раздел IV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Проект железной дороги "Балыкчи - Кочкор - Кара-Кече - Макмал - Джалал-Абад".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Проект автомобильной дороги "Реконструкция северно-объездной дороги города Бишкек".".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