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563b4" w14:textId="16563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отчета о ходе исполнения плана мероприятий по гармонизации законодательства государств – членов Евразийского экономического союза в сфере финансового рынка за 2023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Совета Евразийской экономической комиссии от 18 октября 2024 года № 26.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учетом информации Евразийской экономической комиссии о гармонизации законодательства государств – членов Евразийского экономического союза в сфере финансового рынка: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отчет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о ходе исполнения плана мероприятий по гармонизации законодательства государств – членов Евразийского экономического союза в сфере финансового рынка за 2023 год в соответствии с пунктом 3 статьи 6 Соглашения о гармонизации законодательства государств </w:t>
      </w:r>
      <w:r>
        <w:rPr>
          <w:rFonts w:ascii="Times New Roman"/>
          <w:b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 xml:space="preserve"> членов Евразийского экономического союза в сфере финансового рынка от 6 ноября 2018 года и пунктом 1.4.1 </w:t>
      </w:r>
      <w:r>
        <w:rPr>
          <w:rFonts w:ascii="Times New Roman"/>
          <w:b w:val="false"/>
          <w:i w:val="false"/>
          <w:color w:val="000000"/>
          <w:sz w:val="28"/>
        </w:rPr>
        <w:t>плана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реализации Стратегических направлений развития евразийской экономической интеграции до 2025 года, утвержденного распоряжением Совета Евразийской экономической комиссии от 5 апреля 2021 г. № 4.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Евразийской экономической комиссии совместно с государствами – членами Евразийского экономического союза продолжить работу по подготовке проекта распоряжения Высшего Евразийского экономического совета "О некоторых вопросах гармонизации законодательства государств </w:t>
      </w:r>
      <w:r>
        <w:rPr>
          <w:rFonts w:ascii="Times New Roman"/>
          <w:b/>
          <w:i w:val="false"/>
          <w:color w:val="000000"/>
          <w:sz w:val="28"/>
        </w:rPr>
        <w:t>–</w:t>
      </w:r>
      <w:r>
        <w:rPr>
          <w:rFonts w:ascii="Times New Roman"/>
          <w:b w:val="false"/>
          <w:i w:val="false"/>
          <w:color w:val="000000"/>
          <w:sz w:val="28"/>
        </w:rPr>
        <w:t xml:space="preserve"> членов Евразийского экономического союза в сфере финансового рынка" с целью его представления для рассмотрения Советом Евразийской экономической комиссии.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распоряжение вступает в силу с даты его опубликования на официальном сайте Евразийского экономического союза.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Совета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Евразийской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экономической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комиссии: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И. Петришенко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 Жумангарин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Касымалиев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распоряжением Совета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октября 2024 г. № 26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</w:t>
      </w:r>
      <w:r>
        <w:br/>
      </w:r>
      <w:r>
        <w:rPr>
          <w:rFonts w:ascii="Times New Roman"/>
          <w:b/>
          <w:i w:val="false"/>
          <w:color w:val="000000"/>
        </w:rPr>
        <w:t xml:space="preserve">о ходе исполнения плана мероприятий по гармонизации законодательства государств – членов Евразийского экономического союза в сфере финансового рынка за 2023 год </w:t>
      </w:r>
    </w:p>
    <w:bookmarkEnd w:id="3"/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Введение</w:t>
      </w:r>
    </w:p>
    <w:bookmarkEnd w:id="4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отчет о ходе исполнения </w:t>
      </w:r>
      <w:r>
        <w:rPr>
          <w:rFonts w:ascii="Times New Roman"/>
          <w:b w:val="false"/>
          <w:i w:val="false"/>
          <w:color w:val="000000"/>
          <w:sz w:val="28"/>
        </w:rPr>
        <w:t>плана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гармонизации законодательства государств  –  членов Евразийского экономического союза в сфере финансового рынка, утвержденного распоряжением Совета Евразийской экономической комиссии от 23 ноября 2020 г. № 27 (далее – план гармонизации), подготовлен во исполнение пункта 3 статьи 6 Соглашения о гармонизации законодательства государств – членов Евразийского экономического союза в сфере финансового рынка от 6 ноября 2018 года (далее – Соглашение о гармонизации) и пункта 1.4.1 </w:t>
      </w:r>
      <w:r>
        <w:rPr>
          <w:rFonts w:ascii="Times New Roman"/>
          <w:b w:val="false"/>
          <w:i w:val="false"/>
          <w:color w:val="000000"/>
          <w:sz w:val="28"/>
        </w:rPr>
        <w:t>плана мероприятий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реализации Стратегических направлений развития евразийской экономической интеграции до 2025 года, утвержденного распоряжением Совета Евразийской экономической комиссии от 5 апреля 2021 г. № 4.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Выполнение плана гармонизации осуществляется в рамках рабочей группы по вопросам гармонизации законодательства государств – членов Евразийского экономического союза в финансовой сфере при Консультативном комитете по финансовым рынкам (далее соответственно – рабочая группа по гармонизации, Консультативный комитет), а также входящих в нее 3 подгрупп по сферам финансового рынка: банковскому сектору, страховому сектору и рынку ценных бумаг.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гармонизации законодательства государств – членов Евразийского экономического союза (далее соответственно – государства-члены, Союз) в сфере финансового рынка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 (далее – Договор о Союзе), Соглашением о гармонизации, планом гармонизации, </w:t>
      </w:r>
      <w:r>
        <w:rPr>
          <w:rFonts w:ascii="Times New Roman"/>
          <w:b w:val="false"/>
          <w:i w:val="false"/>
          <w:color w:val="000000"/>
          <w:sz w:val="28"/>
        </w:rPr>
        <w:t>Концепцией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общего финансового рынка Евразийского экономического союза, утвержденной Решением Высшего Евразийского экономического совета от 1 октября 2019 г. № 20 (далее – Концепция общего финансового рынка), планом мероприятий ("дорожной картой") по формированию общего биржевого пространства в рамках Евразийского экономического союза, утвержденным распоряжением Коллегии Евразийской экономической комиссии от 3 ноября 2020 г. № 159.</w:t>
      </w:r>
    </w:p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подготовлен в рамках проводимой Евразийской экономической комиссией (далее – Комиссия) работы по гармонизации законодательства государств-членов в финансовой сфере на основании указанных актов Союза по состоянию на 31 декабря 2023 г.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Отчет о ходе исполнения плана мероприятий по гармонизации законодательства государств – членов Евразийского экономического союза в сфере финансового рынка по состоянию на 31 декабря 2022 г. утвержден распоряжением Совета Евразийской экономической комиссии от 23 июня 2023 г. № 18. 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указанном отчете за 2022 год были отражены основные подходы к формированию общего финансового рынка Союза (далее – общий финансовый рынок) и проведению гармонизации законодательства государств-членов в сфере финансового рынка.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состав материалов для рассмотрения на Совете Комиссии вопроса об утверждении отчета о ходе исполнения плана гармонизации предполагается включить табличную информацию, отражающую состояние исполнения пунктов плана гармонизации. </w:t>
      </w:r>
    </w:p>
    <w:bookmarkEnd w:id="9"/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Подходы к работе по выполнению плана гармонизации 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Гармонизация законодательства государств-членов в сфере финансового рынка проводится в рамках работы 3 подгрупп с разбивкой на ключевые этапы по 3 секторам одновременно (параллельно), но с разным временем проведения, что учитывает модели и особенности правового регулирования финансовых рынков государств-членов.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своей деятельности подгруппы руководствуются положениями Соглашения о гармонизации, согласно которым: 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предложения по гармонизации законодательства государств-членов вырабатываются Сторонами;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согласованные уполномоченными органами государств-членов предложения и сроки их имплементации утверждаются Советом Комиссии.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Утвержденные Советом Комиссии предложения имплементируются путем заключения международных договоров в рамках Союза и (или) внесения изменений в законодательство государств-членов.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Комиссия координирует деятельность подгрупп по разработке предложений по гармонизации законодательства государств-членов в соответствии с планом гармонизации, а также на ежегодной основе готовит отчет и представляет его для рассмотрения Советом Комиссии.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реализации поставленной задачи с учетом мероприятий, определенных планом гармонизации, выбран следующий алгоритм действий подгрупп: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проводится сравнительно-правовой анализ законодательства государств-членов по каждому направлению плана гармонизации, выявляются сходства и различия в правовом регулировании по каждому направлению плана гармонизации;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дается оценка существенности различий с точки зрения рисков возникновения регуляторного арбитража, их критичности для общего финансового рынка и создания условий для взаимного признания лицензий;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вырабатываются и оформляются предложения по гармонизации законодательства государств-членов, сгруппированные по тематическим блокам в соответствии с планом гармонизации;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указанные предложения согласовываются на Консультативном комитете. 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Предложения по гармонизации законодательства государств-членов в сфере финансового рынка включают в себя вопросы, регулирование которых в государствах-членах является сопоставимым (на рассматриваемый момент они гармонизированы в достаточной степени для обеспечения взаимного признания лицензий и обеспечения допуска на общий финансовый рынок, в том числе в соответствии с Концепцией общего финансового рынка), а также вопросы, требующие гармонизации законодательства. 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сопоставимости регулирования законодательства государств-членов позволяет оптимизировать процесс совершенствования законодательства государств-членов, упростить процесс мониторинга законодательства государств-членов, в том числе в будущем при присоединении к Союзу новых государств.</w:t>
      </w:r>
    </w:p>
    <w:bookmarkEnd w:id="23"/>
    <w:bookmarkStart w:name="z33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Банковский сектор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Раздел I плана гармонизации, включающий в себя 28 пунктов, предусматривает 3 этапа проведения гармонизации законодательства государств-членов в банковском секторе: 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этап – 2020 – 2021 год;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этап – 2021 – 2024 год;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третий этап – 2022 – 2025 год.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Работа по гармонизации законодательства велась одновременно по различным направлениям всех 3 этапов плана гармонизации. 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2023 году проведена следующая работа: 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 и направлен на внутригосударственное согласование проект Соглашения о стандартизированной лицензии в банковском и страховом секторах услуг в рамках Евразийского экономического союза (распоряжение Коллегии Евразийской экономической комиссии от 11 апреля 2023 г. № 45) (далее – Соглашение о стандартизированной лицензии); 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подготовлены и прошли согласование регуляторов предложения по гармонизации законодательства государств-членов в сфере допуска банков на рынок банковских услуг;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ведется сравнительный анализ законодательства государств-членов по вопросам обеспечения финансовой надежности банков, банковских групп, банковских холдингов и осуществления надзора за их деятельностью;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ведется сравнительный анализ законодательства государств-членов по вопросам гармонизации требований и процедур, направленных на противодействие отмыванию денег и финансированию терроризма;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согласованы на экспертном уровне и направлены финансовым регуляторам предложения по гармонизации законодательства государств-членов в сфере страхования вкладов.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ходе реализации первого этапа осуществления гармонизации законодательства государств-членов в соответствии с планом гармонизации согласован и направлен на внутригосударственное согласование проект Соглашения о стандартизированной лицензии, целью которого является обеспечение взаимного признания стандартизированной лицензии на осуществление деятельности в банковском и страховом секторах услуг, выданной уполномоченным органом государства происхождения и позволяющей по упрощенной процедуре осуществлять учреждение (приобретение) юридического лица в форме дочерней организации банка (страховой организации) на территории государства пребывания. 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2023 году внутригосударственные согласования по проекту Соглашения о стандартизированной лицензии завершено Республикой Армения, Республикой Беларусь, Республикой Казахстан и Кыргызской Республикой. По состоянию на конец 2023 года информация о завершении внутригосударственного согласования проекта Соглашения о стандартизированной лицензии в Российской Федерации в Комиссию не поступала. 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ходе работы подгруппы по банковскому сектору проведен сравнительно-правовой анализ законодательства государств-членов, выявлены различия в регулировании и прорабатываются предложения по вопросам, требующим гармонизации, по следующим направлениям гармонизации второго и третьего этапов плана гармонизации: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основания для отказа кандидатам в назначении на ключевые должности в банке, подлежащие согласованию;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основания для отказа в согласовании сделок по приобретению акций (долей) банка и установления контроля в отношении крупных владельцев акций (долей) банка;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открытия дочерних иностранных банков на территории государства-члена;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открытия дочерних банков за пределами государства-члена;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открытия обособленных подразделений банков;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пруденциальным нормативам: капиталу банка (собственному (регуляторному), нормативному, общему), нормативам достаточности капитала, ликвидности, ограничению концентрации риска;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элементы корпоративного управления в государствах-членах;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организации корпоративного управления;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системам управления рисками и внутреннего контроля в банке;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полномочия надзорного органа по контролю за эффективностью организации корпоративного управления в банках, контролю за рисками;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организационной структуре системы управления рисками и органам управления рисками в банке.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Эксперты подгруппы по банковскому сектору подготовили предложения по гармонизации законодательства государств-членов в сфере допуска банков на рынок банковских услуг, охватывающие направления гармонизации всех этапов плана гармонизации. Предложения выработаны на основе анализа существенности различий в регулировании вопросов 9 пунктов раздела I плана гармонизации с точки зрения риска возникновения регуляторного арбитража, его критичности для общего финансового рынка и создания условий для взаимного признания лицензий. В предложения включены следующие вопросы, связанные с требованиями к созданию и лицензированию банков: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юридический статус банка и его организационно-правовые формы;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банка;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банковские и иные операции, запрещенные и разрешенные виды деятельности;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учредителям банка;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ключевым должностям в банке;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уставному и собственному капиталам;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регистрации банков и условия выдачи им лицензий на проведение банковских операций;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открытию обособленных подразделений банков.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июле 2023 г. указанные предложения направлены финансовым регуляторам, а полученные затем замечания учтены. В настоящее время предложения по гармонизации законодательства в сфере допуска банков на рынок банковских услуг направлены на согласование Сторон для подготовки акта органа Комиссии. В дальнейшем они могут стать основой для подготовки международных договоров.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указанного сравнительно-правового анализа законодательства государств-членов началась подготовка предложений по гармонизации законодательства в сфере обеспечения финансовой надежности банков, банковских групп, банковских холдингов и осуществления надзора за их деятельностью. В них будут рассмотрены в том числе требования к корпоративному управлению в банках, осуществлению надзора за деятельностью банков, обеспечению их финансовой надежности и отчетности. 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2023 году продолжилась работа Экспертной группы по вопросам гармонизации законодательства в сфере страхования (гарантирования) банковских вкладов (депозитов), ликвидации, финансового оздоровления и банкротства кредитных организаций на территории ЕАЭС при Консультативном комитете по финансовым рынкам Евразийской экономической комиссии. В состав Экспертной группы входят руководители и представители национальных организаций по страхованию вкладов. В 2023 году продолжена подготовка экспертных заключений по вопросам функционирования систем страхования вкладов, содержащих предложения по гармонизации законодательства государств-членов. Следующие экспертные заключения были направлены регуляторам финансового рынка с целью дальнейшей подготовки предложений по гармонизации: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инвестирования средств фонда страхования вкладов (депозитов);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полномочия национальных организаций страхования вкладов (депозитов) при урегулировании несостоятельности проблемных банков;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правовая защита работников национальных организаций страхования вкладов (депозитов);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очередность удовлетворения требований застрахованных кредиторов;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планирование восстановления финансовой устойчивости и урегулирование несостоятельности банка;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возможность использования процедуры одновременной передачи обязательств по гарантируемым вкладам (депозитам) и активов банка-банкрота банку-приобретателю;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информирование общественности о системе страхования вкладов (депозитов);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отбор банков-агентов для выплаты страхового возмещения;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мандат организации по страхованию (гарантированию) вкладов (депозитов)";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страхование трансграничных вкладов (депозитов).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подготовлено и направлено регуляторам 25 экспертных заключений.</w:t>
      </w:r>
    </w:p>
    <w:bookmarkEnd w:id="72"/>
    <w:p>
      <w:pPr>
        <w:spacing w:after="0"/>
        <w:ind w:left="0"/>
        <w:jc w:val="both"/>
      </w:pPr>
      <w:bookmarkStart w:name="z82" w:id="73"/>
      <w:r>
        <w:rPr>
          <w:rFonts w:ascii="Times New Roman"/>
          <w:b w:val="false"/>
          <w:i w:val="false"/>
          <w:color w:val="000000"/>
          <w:sz w:val="28"/>
        </w:rPr>
        <w:t xml:space="preserve">
      В рамках исполнения третьего этапа осуществления гармонизации в соответствии с планом гармонизации было продолжено проведение сравнительно-правового анализа законодательства государств-членов, выявление различий в регулировании и выработка предложений 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вопросам гармонизации требований и процедур, направленных на противодействие отмыванию денег и финансированию терроризма. В 2023 году на площадке Комиссии рассмотрены следующие вопросы, касающиеся возникновения риска регуляторного арбитража, для подготовки предложений по гармонизации требований и процедур, направленных на противодействие отмыванию денег и финансированию терроризма:</w:t>
      </w:r>
    </w:p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финансовые санкции, относящиеся к противодействию финансирования терроризма;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надлежащая проверка клиента;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хранение данных;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публичные должностные лица;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банки-корреспонденты;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услуги перевода денег или ценностей;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новые технологии;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доверие мерам третьих сторон;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внутренний контроль; 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зарубежные филиалы и представительства;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страны повышенного риска.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обсуждения данных вопросов было определено, что различия в законодательстве государств-членов не являются существенными с точки зрения рисков возникновения регуляторного арбитража, в связи с чем гармонизация законодательства по ним не требуется.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Таким образом, в 2023 году завершена работа экспертов по подготовке предложений по гармонизации финансового законодательства государств-членов в сфере допуска банков на рынок банковских услуг и продолжена работа по подготовке предложений по гармонизации законодательства в сфере обеспечения финансовой надежности банков, банковских групп и холдингов и осуществления надзора за их деятельностью, а также в сфере улучшения финансового состояния банка, его реорганизации, отзыва лицензии и ликвидации. Работа экспертов по направлениям первого и частично второго этапов раздела I плана гармонизации завершена.</w:t>
      </w:r>
    </w:p>
    <w:bookmarkEnd w:id="86"/>
    <w:bookmarkStart w:name="z96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Страховой сектор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План гармонизации в страховом секторе предусматривает 3 этапа выполнения: 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первый этап – 2020 – 2021 год; 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второй этап – 2021 – 2023 год; 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третий этап – 2023 – 2025 год.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Согласно второму этапу раздела II плана гармонизации, а также отдельным пунктам третьего этапа раздела II плана гармонизации в страховом секторе осуществлялась гармонизация законодательства государств-членов по следующим вопросам: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основные понятия, используемые в законодательстве государств-членов в страховой деятельности (страховая деятельность (страховое дело), страховщик (страховая организация), перестраховщик, посредническая деятельность, страховой брокер, страховой агент, страхователь);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 условия создания и лицензирования участников страхового рынка;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требования, предъявляемые при лицензировании страховой деятельности; 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 к деятельности участников страхового рынка, в том числе профессиональных участников страхового рынка; 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требования к профессиональной квалификации и деловой репутации руководящих работников профессиональных участников страхового рынка;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основания для отказа в выдаче лицензии на осуществление страховой деятельности; 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основания для отзыва, аннулирования, ограничения и приостановления действия лицензии на осуществление страховой деятельности профессионального участника страхового рынка; 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 к деятельности саморегулируемых организаций на страховом рынке; 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 и особенности реорганизации профессиональных участников страхового рынка в форме слияния, присоединения, преобразования или в иной форме;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порядок, процедуры и условия ликвидации (в том числе принудительной ликвидации), банкротства и финансового оздоровления профессиональных участников страхового рынка;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и порядок передачи страхового портфеля;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требования к системе корпоративного управления профессиональных участников страхового рынка. 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2023 году экспертами Сторон был проведен сравнительно-правовой анализ требований законодательства государств-членов, предъявляемых к профессиональным участникам страхового рынка при лицензировании страховой деятельности, к профессиональной квалификации и деловой репутации руководящих работников профессиональных участников страхового рынка, аннулированию, отзыву действия лицензии на осуществление страховой деятельности профессионального участника страхового рынка, реорганизации, ликвидации профессионального участника страхового рынка. 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2023 года экспертами Сторон совместно с Комиссией в рамках подгруппы по страховому сектору рабочей группы по гармонизации выработаны следующие решения по гармонизации законодательства государств-членов в сфере страхования: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определены ключевые процессы, включающие в себя порядок лицензирования страховой компании; 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определены основные требования, которые будут предъявляться к страховой организации при лицензировании страховой деятельности;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требований к профессиональной квалификации и деловой репутации руководящих работников профессиональных участников страхового рынка (в том числе требований к деловой репутации и финансовому положению акционеров (участников), владеющих более чем 10 процентами акций (долей), и лиц, осуществляющих контроль в отношении таких акционеров (участников)) определен перечень лиц, на которых распространяются квалификационные требования и (или) требования к деловой репутации профессиональных участников страхового рынка государств-членов для гармонизации законодательства государств-членов в части, касающейся лицензирования профессиональных участников страхового рынка.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также определили основные принципы и требования, которые будут применяться в целях оценки финансовой устойчивости учредителей, контролеров (лиц, имеющих право прямо или косвенно распоряжаться более чем 10 процентами акций (долей) страховой организации);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определены основания для отказа в выдаче лицензии на осуществление страховой деятельности страховым организациям; 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отношении гармонизации оснований для отзыва, аннулирования, ограничения и приостановления действия лицензии на осуществление страховой деятельности профессионального участника страхового рынка Стороны договорились, что принятие окончательного решения будет перенесено на более поздний этап (будет рассмотрено в рамках третьего этапа осуществления гармонизации в соответствии с планом гармонизации в связи с тем, что данный вопрос необходимо рассматривать совместно с вопросом о гармонизации порядка осуществления компетентными органами государств-членов надзора за деятельностью профессиональных участников страхового рынка);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согласован перечень основных понятий: страховая деятельность (страховое дело), страховщик (страховая организация), перестраховщик, посредническая деятельность, страховой брокер, страховой агент, страхователь;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принято решение о нецелесообразности на данном этапе осуществления гармонизации по следующим вопросам: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и особенности реорганизации профессиональных участников страхового рынка в форме слияния, присоединения, преобразования или в иной форме; 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порядок, процедуры и условия ликвидации (в том числе принудительной ликвидации), банкротства и финансового оздоровления профессиональных участников страхового рынка;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условия и порядок передачи страхового портфеля;</w:t>
      </w:r>
    </w:p>
    <w:bookmarkEnd w:id="117"/>
    <w:p>
      <w:pPr>
        <w:spacing w:after="0"/>
        <w:ind w:left="0"/>
        <w:jc w:val="both"/>
      </w:pPr>
      <w:bookmarkStart w:name="z127" w:id="118"/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государственной регистрации участников страхового рынка государств-членов – государственная регистрация участников страхового рынка будет осуществляться в соответствии </w:t>
      </w:r>
    </w:p>
    <w:bookmarkEnd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законодательством государств-членов;</w:t>
      </w:r>
    </w:p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принимая во внимание пункт 10 протокола заседания Консультативного комитета от 2 октября 2019 г. № 2-ТЖ/ККФ, эксперты Сторон согласились считать текущий уровень гармонизации требований к системе корпоративного управления на страховом рынке, устанавливаемых законодательством государств-членов на основе международных принципов Организации экономического сотрудничества и развития (ОЭСР), достаточным для формирования общего финансового рынка. В дальнейшем при необходимости по инициативе Сторон возможно повторное обсуждение данного вопроса.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Таким образом, в 2023 году рассмотрены и проанализированы все пункты, составляющие второй этап гармонизации в страховом секторе согласно разделу II плана гармонизации, в связи с чем второй этап можно считать завершенным.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Работа по реализации третьего этапа гармонизации согласно разделу II плана гармонизации продолжается. Так, из 10 пунктов, входящих в третий этап, рассмотрено 2 пункта.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Комиссией совместно с экспертами Сторон ведется работа по подготовке предложений по гармонизации законодательства государств-членов в сфере допуска страховых организаций на страховой рынок государств-членов в рамках реализации первого и второго этапов гармонизации согласно разделу II плана гармонизации.</w:t>
      </w:r>
    </w:p>
    <w:bookmarkEnd w:id="122"/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 Сторонами ведется работа по согласованию позиций государств-членов относительно проекта Соглашения о порядке обмена сведениями, входящими в состав страховых историй, в рамках Союза, целью заключения которого является определение порядка обмена сведениями, входящими в состав страховых историй, и использования данной информации в целях углубления интеграционных процессов в сфере финансовых рынков и формирования общего финансового рынка в рамках Союза, обеспечения равных прав и возможностей для потребителей финансовых услуг и наличия доступного инструмента (ресурса) для поставщиков финансовых услуг.</w:t>
      </w:r>
    </w:p>
    <w:bookmarkEnd w:id="123"/>
    <w:bookmarkStart w:name="z133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Сектор рынка ценных бумаг</w:t>
      </w:r>
    </w:p>
    <w:bookmarkEnd w:id="124"/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разделом III плана гармонизации в секторе услуг на рынке ценных бумаг предусматривается 3 этапа его реализации: </w:t>
      </w:r>
    </w:p>
    <w:bookmarkEnd w:id="125"/>
    <w:bookmarkStart w:name="z1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первый этап – 2020 – 2023 год;</w:t>
      </w:r>
    </w:p>
    <w:bookmarkEnd w:id="126"/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этап – 2021 – 2025 год;</w:t>
      </w:r>
    </w:p>
    <w:bookmarkEnd w:id="127"/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третий этап – 2024 – 2029 год.</w:t>
      </w:r>
    </w:p>
    <w:bookmarkEnd w:id="128"/>
    <w:bookmarkStart w:name="z13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Гармонизация законодательства государств-членов на рынке ценных бумаг в 2023 году осуществлялась по следующим направлениям, предусмотренным первым этапом, а также отдельными пунктами второго (1 пункт) и третьего (2 пункта) этапов осуществления гармонизации в соответствии с планом гармонизации:</w:t>
      </w:r>
    </w:p>
    <w:bookmarkEnd w:id="129"/>
    <w:bookmarkStart w:name="z13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гармонизация основных понятий, относящихся к рынку ценных бумаг, определение видов деятельности на рынке ценных бумаг, организационно-правовых форм участников рынка ценных бумаг – рыночных посредников, инфраструктурных организаций и учетных институтов (далее – участники рынка ценных бумаг), классификация ценных бумаг и финансовых инструментов;</w:t>
      </w:r>
    </w:p>
    <w:bookmarkEnd w:id="130"/>
    <w:bookmarkStart w:name="z14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перечня органов управления и должностных лиц участников рынка ценных бумаг, к которым предъявляются требования к квалификации и деловой репутации;</w:t>
      </w:r>
    </w:p>
    <w:bookmarkEnd w:id="131"/>
    <w:bookmarkStart w:name="z14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гармонизация требований:</w:t>
      </w:r>
    </w:p>
    <w:bookmarkEnd w:id="132"/>
    <w:bookmarkStart w:name="z14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рыночным посредникам, в том числе к порядку формирования уставного капитала, собственным средствам, иным экономическим показателям, методике их расчета;</w:t>
      </w:r>
    </w:p>
    <w:bookmarkEnd w:id="133"/>
    <w:bookmarkStart w:name="z14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 деловой репутации акционеров (участников, учредителей) участников рынка ценных бумаг и лиц, осуществляющих контроль в отношении акционеров (участников, учредителей) участников рынка ценных бумаг, оказывающих услуги по управлению активами клиентов либо услуги номинального держателя, а также к квалификации и деловой репутации должностных лиц участников рынка ценных бумаг и лиц, входящих в органы управления участников рынка ценных бумаг; </w:t>
      </w:r>
    </w:p>
    <w:bookmarkEnd w:id="134"/>
    <w:bookmarkStart w:name="z14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системам учета прав на ценные бумаги и учетным институтам;</w:t>
      </w:r>
    </w:p>
    <w:bookmarkEnd w:id="135"/>
    <w:bookmarkStart w:name="z14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центральному контрагенту, клиринговым организациям на рынке ценных бумаг;</w:t>
      </w:r>
    </w:p>
    <w:bookmarkEnd w:id="136"/>
    <w:bookmarkStart w:name="z14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организатору торговли (бирже) на рынке ценных бумаг;</w:t>
      </w:r>
    </w:p>
    <w:bookmarkEnd w:id="137"/>
    <w:bookmarkStart w:name="z14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центральному депозитарию, расчетному депозитарию;</w:t>
      </w:r>
    </w:p>
    <w:bookmarkEnd w:id="138"/>
    <w:bookmarkStart w:name="z14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деятельности участников рынка ценных бумаг, в том числе к раскрытию и представлению документов и информации, системе управления рисками, системе внутреннего контроля и аудита, системе внутреннего учета;</w:t>
      </w:r>
    </w:p>
    <w:bookmarkEnd w:id="139"/>
    <w:bookmarkStart w:name="z14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деловой репутации акционеров (участников, учредителей) участников рынка ценных бумаг и лиц, осуществляющих контроль в отношении таких акционеров (участников, учредителей), квалификации и деловой репутации лиц, входящих в органы управления участников рынка ценных бумаг, квалификации должностных лиц участников рынка ценных бумаг;</w:t>
      </w:r>
    </w:p>
    <w:bookmarkEnd w:id="140"/>
    <w:bookmarkStart w:name="z15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системе корпоративного управления участников рынка ценных бумаг и эмитентов.</w:t>
      </w:r>
    </w:p>
    <w:bookmarkEnd w:id="141"/>
    <w:bookmarkStart w:name="z15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2023 года экспертами Сторон совместно с Комиссией в рамках подгруппы по рынку ценных бумаг рабочей группы по гармонизации:</w:t>
      </w:r>
    </w:p>
    <w:bookmarkEnd w:id="142"/>
    <w:bookmarkStart w:name="z15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 верхнеуровневый сравнительно-правовой анализ требований к рыночным посредникам (брокерам) на рынке ценных бумаг, устанавливаемых законодательством государств-членов по основным аспектам брокерской деятельности, в том числе финансовых требований, требований к системам управления рисками и внутреннего контроля, требований к руководителям, персоналу, учредителям, акционерам, участникам, бенефициарам брокера и их квалификации и деловой репутации, требований к структуре брокера, требований к работе с клиентами и средствами клиентов, требований к программному обеспечению, требований к взаимодействию с уполномоченным органом и к отчетности, требований к раскрытию информации.</w:t>
      </w:r>
    </w:p>
    <w:bookmarkEnd w:id="143"/>
    <w:bookmarkStart w:name="z15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проведенного анализа с учетом принципов регулирования деятельности рыночных посредников на рынке ценных бумаг, сформулированных Международной организацией комиссий по ценным бумагам, подготовлены следующие проекты перечней предложений по гармонизации законодательства государств-членов:</w:t>
      </w:r>
    </w:p>
    <w:bookmarkEnd w:id="144"/>
    <w:bookmarkStart w:name="z15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основных понятий, видов деятельности и институтов на рынке ценных бумаг;</w:t>
      </w:r>
    </w:p>
    <w:bookmarkEnd w:id="145"/>
    <w:bookmarkStart w:name="z15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части требований к рыночным посредникам (брокерам) на рынке ценных бумаг.</w:t>
      </w:r>
    </w:p>
    <w:bookmarkEnd w:id="146"/>
    <w:bookmarkStart w:name="z15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дальнейшем на основе указанных перечней предложений по гармонизации будет возможна разработка международного договора, в котором будут закреплены требования к участникам рынка ценных бумаг, осуществляющим брокерскую деятельность на общем финансовом рынке Союза.</w:t>
      </w:r>
    </w:p>
    <w:bookmarkEnd w:id="147"/>
    <w:bookmarkStart w:name="z15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Стороны согласились, что на текущем этапе гармонизации с учетом положений Концепции общего финансового рынка, а также исходя из задач, установленных планом мероприятий ("дорожной картой") по формированию общего биржевого пространства в рамках Евразийского экономического союза, утвержденным распоряжением Коллегии Евразийской экономической комиссии от 3 ноября 2020 г. № 159, уровень гармонизации требований к должностным лицам, работникам, учредителям, акционерам (участникам) брокера, лицам, осуществляющим контроль в отношении акционеров (участников, учредителей) брокера, к квалификации и деловой репутации указанных лиц, установленных законодательством государств-членов, является достаточным. </w:t>
      </w:r>
    </w:p>
    <w:bookmarkEnd w:id="148"/>
    <w:bookmarkStart w:name="z15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рамках выработки подходов к допуску брокеров на общий финансовый рынок без дополнительного учреждения (лицензирования) государства-члены продолжат работу по гармонизации требований к должностным лицам, работникам, учредителям (акционерам, участникам) брокеров (материнских компаний брокеров) в соответствии с планом гармонизации;</w:t>
      </w:r>
    </w:p>
    <w:bookmarkEnd w:id="149"/>
    <w:bookmarkStart w:name="z15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проведен сравнительный анализ требований к функционированию учетной, расчетной и торговой инфраструктуры рынка ценных бумаг (требования к системам учета прав на ценные бумаги, учетным институтам (на примере депозитариев), центральному и расчетному депозитариям, организатору торговли (бирже), клиринговой организации и центральному контрагенту, устанавливаемых законодательством государств-членов. </w:t>
      </w:r>
    </w:p>
    <w:bookmarkEnd w:id="150"/>
    <w:bookmarkStart w:name="z16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Проанализированы общие требования к осуществлению деятельности учетных институтов (депозитариев), центральных депозитариев, расчетных депозитариев, организаторов торговли (бирж), клиринговых организаций, центральных контрагентов, устанавливаемые законодательством государств-членов, в том числе следующие требования: к размеру собственных средств, их составу и качеству, наличию специального оборудования и программного обеспечения, выполнению лицами, осуществляющими указанные виды деятельности, пруденциальных нормативов, системе обеспечения контроля рисков, должностным лицам, работникам, учредителям, акционерам, бенефициарам и лицам, осуществляющим контроль в отношении акционеров, их квалификации и деловой репутации, специальные требования к работе с клиентами и средствами клиентов.</w:t>
      </w:r>
    </w:p>
    <w:bookmarkEnd w:id="151"/>
    <w:bookmarkStart w:name="z16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Законодательство государств-членов дополнительно проанализировано в отношении систем учета прав на ценные бумаги, правил осуществления депозитарной деятельности и деятельности учетных институтов, клиринговых организаций и организаторов торговли. </w:t>
      </w:r>
    </w:p>
    <w:bookmarkEnd w:id="152"/>
    <w:bookmarkStart w:name="z16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основании проведенного сравнительно-правового анализа с учетом принципов регулирования деятельности рыночных посредников на рынке ценных бумаг, принципов регулирования организованного рынка ценных бумаг, а также принципов для инфраструктур финансового рынка, сформулированных Международной организацией комиссий по ценным бумагам, осуществляется подготовка предложений по гармонизации законодательства государств-членов в части требований к системам учета прав на ценные бумаги, учетным институтам, центральному и расчетному депозитариям, организатору торговли (бирже), клиринговой организации, центральному контрагенту на рынке ценных бумаг;</w:t>
      </w:r>
    </w:p>
    <w:bookmarkEnd w:id="153"/>
    <w:bookmarkStart w:name="z16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признано нецелесообразным проведение гармонизации организационно-правовых форм участников рынка ценных бумаг и Сторонами принято решение гармонизировать требования, предъявляемые к осуществлению видов деятельности на рынке ценных бумаг;</w:t>
      </w:r>
    </w:p>
    <w:bookmarkEnd w:id="154"/>
    <w:bookmarkStart w:name="z16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рассмотрен вопрос о гармонизации требований к системе корпоративного управления участников финансового рынка. Принимая во внимание пункт 10 протокола заседания Консультативного комитета от 2 октября 2019 г. № 2-ТЖ/ККФ, эксперты Сторон согласились считать текущий уровень гармонизации требований к системе корпоративного управления на рынке ценных бумаг, устанавливаемых законодательством государств-членов на основе международных принципов Организации экономического сотрудничества и развития (ОЭСР), достаточным для формирования общего финансового рынка. В дальнейшем при необходимости по инициативе Сторон возможно повторное обсуждение данного вопроса.</w:t>
      </w:r>
    </w:p>
    <w:bookmarkEnd w:id="155"/>
    <w:bookmarkStart w:name="z16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Таким образом, в 2023 году рассмотрены и проанализированы все пункты, составляющие первый этап гармонизации на рынке ценных бумаг согласно разделу III плана гармонизации, в связи с чем первый этап гармонизации можно считать завершенным. Реализация второго и третьего этапов гармонизации согласно плану гармонизации продолжается. Так, из 8 пунктов, входящих во второй этап, рассмотрен 1 пункт, из 14 пунктов, входящих в третий этап, рассмотрено 2 пункта.</w:t>
      </w:r>
    </w:p>
    <w:bookmarkEnd w:id="156"/>
    <w:bookmarkStart w:name="z16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совместно с экспертами Сторон продолжает работу по подготовке перечней предложений по гармонизации законодательства государств-членов в рамках первого и второго этапов гармонизации, а также отдельных пунктов третьего этапа гармонизации согласно разделу III плана гармонизации.</w:t>
      </w:r>
    </w:p>
    <w:bookmarkEnd w:id="157"/>
    <w:bookmarkStart w:name="z167" w:id="1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Общее биржевое пространство </w:t>
      </w:r>
    </w:p>
    <w:bookmarkEnd w:id="158"/>
    <w:bookmarkStart w:name="z16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Одним из важных направлений формирования общего финансового рынка Союза является построение общего биржевого пространства в рамках Союза.</w:t>
      </w:r>
    </w:p>
    <w:bookmarkEnd w:id="159"/>
    <w:bookmarkStart w:name="z16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2023 году Комиссией совместно со Сторонами велась работа над разработкой следующих документов:</w:t>
      </w:r>
    </w:p>
    <w:bookmarkEnd w:id="160"/>
    <w:bookmarkStart w:name="z17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проект Соглашения о допуске брокеров и дилеров одного государства-члена Евразийского экономического союза к участию в организованных торгах бирж (организаторов торговли) других государств-членов, одобренный распоряжением Коллегии Евразийской экономической комиссии от 25 апреля 2023 г. № 56, целью которого является предоставление права биржам государств-членов признавать лицензии брокеров и дилеров, выданные уполномоченными органами государств-членов, и обеспечивать им возможность непосредственного участия в торгах для заключения договоров купли-продажи ценных бумаг и производных финансовых инструментов. </w:t>
      </w:r>
    </w:p>
    <w:bookmarkEnd w:id="161"/>
    <w:bookmarkStart w:name="z17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Указанный проект соглашения направлен в государства-члены для проведения внутригосударственного согласования. Республика Армения, Республика Беларусь, Республика Казахстан и Кыргызская Республика завершили внутригосударственное согласование. По состоянию на конец 2023 года информация о завершении внутригосударственного согласования данного проекта соглашения в Российской Федерации в Комиссию не поступала;</w:t>
      </w:r>
    </w:p>
    <w:bookmarkEnd w:id="162"/>
    <w:bookmarkStart w:name="z17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 Соглашения о трансграничном допуске к размещению и обращению ценных бумаг на организованных торгах в государствах-членах Евразийского экономического союза, одобренный распоряжением Совета Евразийской экономической комиссии от 25 ноября 2022 г. № 46, целью которого является обеспечение трансграничного допуска ценных бумаг из котировального списка высшей категории к размещению и обращению на организованных торгах в других государствах-членах, а также обеспечение свободы эмиссионных и торговых операций с ценными бумагами на общем биржевом пространстве Союза, условий для роста ликвидности биржевых рынков и укрепление торгового и инвестиционного сотрудничества.</w:t>
      </w:r>
    </w:p>
    <w:bookmarkEnd w:id="163"/>
    <w:bookmarkStart w:name="z17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Указанный проект соглашения направлен в государства-члены для проведения внутригосударственных процедур, необходимых для его подписания. Республика Армения, Республика Беларусь, Кыргызская Республика и Российская Федерация завершили внутригосударственные процедуры. Республика Казахстан завершает процесс проведения внутригосударственных процедур.</w:t>
      </w:r>
    </w:p>
    <w:bookmarkEnd w:id="164"/>
    <w:bookmarkStart w:name="z17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Работа над вышеназванными соглашениями будет продолжена.</w:t>
      </w:r>
    </w:p>
    <w:bookmarkEnd w:id="16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