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c472" w14:textId="b1ec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отдельных видов растительных масел и масложировой продукции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29 ноября 2024 года № 119.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пищевых растительных масел и масложировой продукции в потребительской упаковке (далее – товары)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товаров, подлежащих маркировке средствами идентификации, утвержденный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маркировке не подлежат:</w:t>
      </w:r>
    </w:p>
    <w:bookmarkEnd w:id="5"/>
    <w:bookmarkStart w:name="z10" w:id="6"/>
    <w:p>
      <w:pPr>
        <w:spacing w:after="0"/>
        <w:ind w:left="0"/>
        <w:jc w:val="both"/>
      </w:pPr>
      <w:r>
        <w:rPr>
          <w:rFonts w:ascii="Times New Roman"/>
          <w:b w:val="false"/>
          <w:i w:val="false"/>
          <w:color w:val="000000"/>
          <w:sz w:val="28"/>
        </w:rPr>
        <w:t>
      товары масса нетто которых составляет 30 граммов и менее;</w:t>
      </w:r>
    </w:p>
    <w:bookmarkEnd w:id="6"/>
    <w:bookmarkStart w:name="z11" w:id="7"/>
    <w:p>
      <w:pPr>
        <w:spacing w:after="0"/>
        <w:ind w:left="0"/>
        <w:jc w:val="both"/>
      </w:pPr>
      <w:r>
        <w:rPr>
          <w:rFonts w:ascii="Times New Roman"/>
          <w:b w:val="false"/>
          <w:i w:val="false"/>
          <w:color w:val="000000"/>
          <w:sz w:val="28"/>
        </w:rPr>
        <w:t>
      товары объемом 25 литров и более либо весом 25 килограммов и более;</w:t>
      </w:r>
    </w:p>
    <w:bookmarkEnd w:id="7"/>
    <w:bookmarkStart w:name="z12" w:id="8"/>
    <w:p>
      <w:pPr>
        <w:spacing w:after="0"/>
        <w:ind w:left="0"/>
        <w:jc w:val="both"/>
      </w:pPr>
      <w:r>
        <w:rPr>
          <w:rFonts w:ascii="Times New Roman"/>
          <w:b w:val="false"/>
          <w:i w:val="false"/>
          <w:color w:val="000000"/>
          <w:sz w:val="28"/>
        </w:rPr>
        <w:t>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w:t>
      </w:r>
    </w:p>
    <w:bookmarkEnd w:id="8"/>
    <w:bookmarkStart w:name="z13" w:id="9"/>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9"/>
    <w:bookmarkStart w:name="z14" w:id="10"/>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10"/>
    <w:bookmarkStart w:name="z15" w:id="11"/>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1"/>
    <w:bookmarkStart w:name="z16" w:id="12"/>
    <w:p>
      <w:pPr>
        <w:spacing w:after="0"/>
        <w:ind w:left="0"/>
        <w:jc w:val="both"/>
      </w:pPr>
      <w:r>
        <w:rPr>
          <w:rFonts w:ascii="Times New Roman"/>
          <w:b w:val="false"/>
          <w:i w:val="false"/>
          <w:color w:val="000000"/>
          <w:sz w:val="28"/>
        </w:rPr>
        <w:t>
      3. Утвердить прилагаемые: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 средства</w:t>
      </w:r>
      <w:r>
        <w:rPr>
          <w:rFonts w:ascii="Times New Roman"/>
          <w:b w:val="false"/>
          <w:i w:val="false"/>
          <w:color w:val="000000"/>
          <w:sz w:val="28"/>
        </w:rPr>
        <w:t xml:space="preserve">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21" w:id="13"/>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3"/>
    <w:bookmarkStart w:name="z22" w:id="1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119</w:t>
            </w:r>
          </w:p>
        </w:tc>
      </w:tr>
    </w:tbl>
    <w:bookmarkStart w:name="z24" w:id="1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ЕАЭС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1507 10 900,</w:t>
            </w:r>
          </w:p>
          <w:bookmarkEnd w:id="16"/>
          <w:p>
            <w:pPr>
              <w:spacing w:after="20"/>
              <w:ind w:left="20"/>
              <w:jc w:val="both"/>
            </w:pPr>
            <w:r>
              <w:rPr>
                <w:rFonts w:ascii="Times New Roman"/>
                <w:b w:val="false"/>
                <w:i w:val="false"/>
                <w:color w:val="000000"/>
                <w:sz w:val="20"/>
              </w:rPr>
              <w:t>
1507 90 900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Масло соевое и его фракции нерафинированные или рафинированные, но без изменения химического состава</w:t>
            </w:r>
          </w:p>
          <w:bookmarkEnd w:id="17"/>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1508 10 900 0,</w:t>
            </w:r>
          </w:p>
          <w:bookmarkEnd w:id="18"/>
          <w:p>
            <w:pPr>
              <w:spacing w:after="20"/>
              <w:ind w:left="20"/>
              <w:jc w:val="both"/>
            </w:pPr>
            <w:r>
              <w:rPr>
                <w:rFonts w:ascii="Times New Roman"/>
                <w:b w:val="false"/>
                <w:i w:val="false"/>
                <w:color w:val="000000"/>
                <w:sz w:val="20"/>
              </w:rPr>
              <w:t>
1508 90 900 0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Масло арахисовое и его фракции нерафинированные или рафинированные, но без изменения химического состава</w:t>
            </w:r>
          </w:p>
          <w:bookmarkEnd w:id="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Масло оливковое и его фракции, нерафинированные или рафинированные, но без изменения химического состава </w:t>
            </w:r>
          </w:p>
          <w:bookmarkEnd w:id="2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bookmarkEnd w:id="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1511 10 900 2,</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1511 90 110 0,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1511 90 190 2,</w:t>
            </w:r>
          </w:p>
          <w:p>
            <w:pPr>
              <w:spacing w:after="20"/>
              <w:ind w:left="20"/>
              <w:jc w:val="both"/>
            </w:pPr>
            <w:r>
              <w:rPr>
                <w:rFonts w:ascii="Times New Roman"/>
                <w:b w:val="false"/>
                <w:i w:val="false"/>
                <w:color w:val="000000"/>
                <w:sz w:val="20"/>
              </w:rPr>
              <w:t>
</w:t>
            </w:r>
            <w:r>
              <w:rPr>
                <w:rFonts w:ascii="Times New Roman"/>
                <w:b w:val="false"/>
                <w:i w:val="false"/>
                <w:color w:val="000000"/>
                <w:sz w:val="20"/>
              </w:rPr>
              <w:t>1511 90 990 2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пальмовое и его фракции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1512 11 910,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1512 11 990,</w:t>
            </w:r>
          </w:p>
          <w:p>
            <w:pPr>
              <w:spacing w:after="20"/>
              <w:ind w:left="20"/>
              <w:jc w:val="both"/>
            </w:pPr>
            <w:r>
              <w:rPr>
                <w:rFonts w:ascii="Times New Roman"/>
                <w:b w:val="false"/>
                <w:i w:val="false"/>
                <w:color w:val="000000"/>
                <w:sz w:val="20"/>
              </w:rPr>
              <w:t>
</w:t>
            </w:r>
            <w:r>
              <w:rPr>
                <w:rFonts w:ascii="Times New Roman"/>
                <w:b w:val="false"/>
                <w:i w:val="false"/>
                <w:color w:val="000000"/>
                <w:sz w:val="20"/>
              </w:rPr>
              <w:t>1512 19 900,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или сафлоровое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1512 21 900 0,</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1512 29 900 0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1513 11 910 0,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1513 11 990 2,</w:t>
            </w:r>
          </w:p>
          <w:p>
            <w:pPr>
              <w:spacing w:after="20"/>
              <w:ind w:left="20"/>
              <w:jc w:val="both"/>
            </w:pPr>
            <w:r>
              <w:rPr>
                <w:rFonts w:ascii="Times New Roman"/>
                <w:b w:val="false"/>
                <w:i w:val="false"/>
                <w:color w:val="000000"/>
                <w:sz w:val="20"/>
              </w:rPr>
              <w:t>
</w:t>
            </w:r>
            <w:r>
              <w:rPr>
                <w:rFonts w:ascii="Times New Roman"/>
                <w:b w:val="false"/>
                <w:i w:val="false"/>
                <w:color w:val="000000"/>
                <w:sz w:val="20"/>
              </w:rPr>
              <w:t>1513 19 110 0,</w:t>
            </w:r>
          </w:p>
          <w:p>
            <w:pPr>
              <w:spacing w:after="20"/>
              <w:ind w:left="20"/>
              <w:jc w:val="both"/>
            </w:pPr>
            <w:r>
              <w:rPr>
                <w:rFonts w:ascii="Times New Roman"/>
                <w:b w:val="false"/>
                <w:i w:val="false"/>
                <w:color w:val="000000"/>
                <w:sz w:val="20"/>
              </w:rPr>
              <w:t>
</w:t>
            </w:r>
            <w:r>
              <w:rPr>
                <w:rFonts w:ascii="Times New Roman"/>
                <w:b w:val="false"/>
                <w:i w:val="false"/>
                <w:color w:val="000000"/>
                <w:sz w:val="20"/>
              </w:rPr>
              <w:t>1513 19 190 2,</w:t>
            </w:r>
          </w:p>
          <w:p>
            <w:pPr>
              <w:spacing w:after="20"/>
              <w:ind w:left="20"/>
              <w:jc w:val="both"/>
            </w:pPr>
            <w:r>
              <w:rPr>
                <w:rFonts w:ascii="Times New Roman"/>
                <w:b w:val="false"/>
                <w:i w:val="false"/>
                <w:color w:val="000000"/>
                <w:sz w:val="20"/>
              </w:rPr>
              <w:t>
</w:t>
            </w:r>
            <w:r>
              <w:rPr>
                <w:rFonts w:ascii="Times New Roman"/>
                <w:b w:val="false"/>
                <w:i w:val="false"/>
                <w:color w:val="000000"/>
                <w:sz w:val="20"/>
              </w:rPr>
              <w:t>1513 19 910 0,</w:t>
            </w:r>
          </w:p>
          <w:p>
            <w:pPr>
              <w:spacing w:after="20"/>
              <w:ind w:left="20"/>
              <w:jc w:val="both"/>
            </w:pPr>
            <w:r>
              <w:rPr>
                <w:rFonts w:ascii="Times New Roman"/>
                <w:b w:val="false"/>
                <w:i w:val="false"/>
                <w:color w:val="000000"/>
                <w:sz w:val="20"/>
              </w:rPr>
              <w:t>
</w:t>
            </w:r>
            <w:r>
              <w:rPr>
                <w:rFonts w:ascii="Times New Roman"/>
                <w:b w:val="false"/>
                <w:i w:val="false"/>
                <w:color w:val="000000"/>
                <w:sz w:val="20"/>
              </w:rPr>
              <w:t>1513 19 990 2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кокосовое (копровое) и его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1513 21 300 0,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1513 21 900 2,</w:t>
            </w:r>
          </w:p>
          <w:p>
            <w:pPr>
              <w:spacing w:after="20"/>
              <w:ind w:left="20"/>
              <w:jc w:val="both"/>
            </w:pPr>
            <w:r>
              <w:rPr>
                <w:rFonts w:ascii="Times New Roman"/>
                <w:b w:val="false"/>
                <w:i w:val="false"/>
                <w:color w:val="000000"/>
                <w:sz w:val="20"/>
              </w:rPr>
              <w:t>
</w:t>
            </w:r>
            <w:r>
              <w:rPr>
                <w:rFonts w:ascii="Times New Roman"/>
                <w:b w:val="false"/>
                <w:i w:val="false"/>
                <w:color w:val="000000"/>
                <w:sz w:val="20"/>
              </w:rPr>
              <w:t>1513 29 110 0,</w:t>
            </w:r>
          </w:p>
          <w:p>
            <w:pPr>
              <w:spacing w:after="20"/>
              <w:ind w:left="20"/>
              <w:jc w:val="both"/>
            </w:pPr>
            <w:r>
              <w:rPr>
                <w:rFonts w:ascii="Times New Roman"/>
                <w:b w:val="false"/>
                <w:i w:val="false"/>
                <w:color w:val="000000"/>
                <w:sz w:val="20"/>
              </w:rPr>
              <w:t>
</w:t>
            </w:r>
            <w:r>
              <w:rPr>
                <w:rFonts w:ascii="Times New Roman"/>
                <w:b w:val="false"/>
                <w:i w:val="false"/>
                <w:color w:val="000000"/>
                <w:sz w:val="20"/>
              </w:rPr>
              <w:t>1513 29 190 2</w:t>
            </w:r>
          </w:p>
          <w:p>
            <w:pPr>
              <w:spacing w:after="20"/>
              <w:ind w:left="20"/>
              <w:jc w:val="both"/>
            </w:pPr>
            <w:r>
              <w:rPr>
                <w:rFonts w:ascii="Times New Roman"/>
                <w:b w:val="false"/>
                <w:i w:val="false"/>
                <w:color w:val="000000"/>
                <w:sz w:val="20"/>
              </w:rPr>
              <w:t>
</w:t>
            </w:r>
            <w:r>
              <w:rPr>
                <w:rFonts w:ascii="Times New Roman"/>
                <w:b w:val="false"/>
                <w:i w:val="false"/>
                <w:color w:val="000000"/>
                <w:sz w:val="20"/>
              </w:rPr>
              <w:t>1513 29 500 0,</w:t>
            </w:r>
          </w:p>
          <w:p>
            <w:pPr>
              <w:spacing w:after="20"/>
              <w:ind w:left="20"/>
              <w:jc w:val="both"/>
            </w:pPr>
            <w:r>
              <w:rPr>
                <w:rFonts w:ascii="Times New Roman"/>
                <w:b w:val="false"/>
                <w:i w:val="false"/>
                <w:color w:val="000000"/>
                <w:sz w:val="20"/>
              </w:rPr>
              <w:t>
</w:t>
            </w:r>
            <w:r>
              <w:rPr>
                <w:rFonts w:ascii="Times New Roman"/>
                <w:b w:val="false"/>
                <w:i w:val="false"/>
                <w:color w:val="000000"/>
                <w:sz w:val="20"/>
              </w:rPr>
              <w:t>1513 29 900 2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xml:space="preserve">
Масло пальмоядровое или масло бабассу и их фракции, кроме масла для технического или промышленного применения </w:t>
            </w:r>
          </w:p>
          <w:bookmarkEnd w:id="2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1514 11 900,</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1514 19 900,</w:t>
            </w:r>
          </w:p>
          <w:p>
            <w:pPr>
              <w:spacing w:after="20"/>
              <w:ind w:left="20"/>
              <w:jc w:val="both"/>
            </w:pPr>
            <w:r>
              <w:rPr>
                <w:rFonts w:ascii="Times New Roman"/>
                <w:b w:val="false"/>
                <w:i w:val="false"/>
                <w:color w:val="000000"/>
                <w:sz w:val="20"/>
              </w:rPr>
              <w:t>
</w:t>
            </w:r>
            <w:r>
              <w:rPr>
                <w:rFonts w:ascii="Times New Roman"/>
                <w:b w:val="false"/>
                <w:i w:val="false"/>
                <w:color w:val="000000"/>
                <w:sz w:val="20"/>
              </w:rPr>
              <w:t>1514 91 900,</w:t>
            </w:r>
          </w:p>
          <w:p>
            <w:pPr>
              <w:spacing w:after="20"/>
              <w:ind w:left="20"/>
              <w:jc w:val="both"/>
            </w:pPr>
            <w:r>
              <w:rPr>
                <w:rFonts w:ascii="Times New Roman"/>
                <w:b w:val="false"/>
                <w:i w:val="false"/>
                <w:color w:val="000000"/>
                <w:sz w:val="20"/>
              </w:rPr>
              <w:t>
</w:t>
            </w:r>
            <w:r>
              <w:rPr>
                <w:rFonts w:ascii="Times New Roman"/>
                <w:b w:val="false"/>
                <w:i w:val="false"/>
                <w:color w:val="000000"/>
                <w:sz w:val="20"/>
              </w:rPr>
              <w:t>1514 99 900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Масло рапсовое (из рапса, или кользы) или горчичное и их фракции, нерафинированные или рафинированные, но без изменения химического состава</w:t>
            </w:r>
          </w:p>
          <w:bookmarkEnd w:id="29"/>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1515 11 000 0,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1515 19 900 0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льняное и его фракции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1515 21 900 0,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1515 29 900 0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Масло кукурузное и его фракции</w:t>
            </w:r>
          </w:p>
          <w:bookmarkEnd w:id="3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xml:space="preserve">
Масло касторовое и его фракции, кроме масла для производства аминоундекановой кислоты для использования в производстве синтетического волокна или искусственных полимерных материалов </w:t>
            </w:r>
          </w:p>
          <w:bookmarkEnd w:id="3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1515 50 190 0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1515 50 990 0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Масло кунжутное и его фракции</w:t>
            </w:r>
          </w:p>
          <w:bookmarkEnd w:id="3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из 1515 90 110 0</w:t>
            </w:r>
          </w:p>
          <w:bookmarkEnd w:id="3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жожоба; воск из мирта и японский воск;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1515 90 610 0,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1515 90 690 0,</w:t>
            </w:r>
          </w:p>
          <w:p>
            <w:pPr>
              <w:spacing w:after="20"/>
              <w:ind w:left="20"/>
              <w:jc w:val="both"/>
            </w:pPr>
            <w:r>
              <w:rPr>
                <w:rFonts w:ascii="Times New Roman"/>
                <w:b w:val="false"/>
                <w:i w:val="false"/>
                <w:color w:val="000000"/>
                <w:sz w:val="20"/>
              </w:rPr>
              <w:t>
</w:t>
            </w:r>
            <w:r>
              <w:rPr>
                <w:rFonts w:ascii="Times New Roman"/>
                <w:b w:val="false"/>
                <w:i w:val="false"/>
                <w:color w:val="000000"/>
                <w:sz w:val="20"/>
              </w:rPr>
              <w:t>1515 90 810 0,</w:t>
            </w:r>
          </w:p>
          <w:p>
            <w:pPr>
              <w:spacing w:after="20"/>
              <w:ind w:left="20"/>
              <w:jc w:val="both"/>
            </w:pPr>
            <w:r>
              <w:rPr>
                <w:rFonts w:ascii="Times New Roman"/>
                <w:b w:val="false"/>
                <w:i w:val="false"/>
                <w:color w:val="000000"/>
                <w:sz w:val="20"/>
              </w:rPr>
              <w:t>
</w:t>
            </w:r>
            <w:r>
              <w:rPr>
                <w:rFonts w:ascii="Times New Roman"/>
                <w:b w:val="false"/>
                <w:i w:val="false"/>
                <w:color w:val="000000"/>
                <w:sz w:val="20"/>
              </w:rPr>
              <w:t>1515 90 890 0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Жиры и масла растительного происхождения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 в первичных упаковках нетто-массой не более 1 кг</w:t>
            </w:r>
          </w:p>
          <w:bookmarkEnd w:id="3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Масло хлопковое гидрогенизированное</w:t>
            </w:r>
          </w:p>
          <w:bookmarkEnd w:id="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Масло из виноградных косточек, полностью или частично гидрогенизированное, переэтерифицированное, реэтерифицированное или элаидинизированное, нерафинированное или рафинированное, но не подвергнутое дальнейшей обработке</w:t>
            </w:r>
          </w:p>
          <w:bookmarkEnd w:id="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Масло арахисовое, соевое, подсолнечное, масла прочие, содержащие менее 50 мас.% свободных жирных кислот, за исключением масел пальмоядрового, брассии, кокосового, рапсового (из рапса, или кользы) или копайба,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bookmarkEnd w:id="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Заменители какао-масла,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bookmarkEnd w:id="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Эквиваленты какао-масла,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bookmarkEnd w:id="4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растительного происхождения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w:t>
            </w:r>
          </w:p>
        </w:tc>
      </w:tr>
    </w:tbl>
    <w:bookmarkStart w:name="z78" w:id="44"/>
    <w:p>
      <w:pPr>
        <w:spacing w:after="0"/>
        <w:ind w:left="0"/>
        <w:jc w:val="both"/>
      </w:pPr>
      <w:r>
        <w:rPr>
          <w:rFonts w:ascii="Times New Roman"/>
          <w:b w:val="false"/>
          <w:i w:val="false"/>
          <w:color w:val="000000"/>
          <w:sz w:val="28"/>
        </w:rPr>
        <w:t>
      ________________</w:t>
      </w:r>
    </w:p>
    <w:bookmarkEnd w:id="44"/>
    <w:bookmarkStart w:name="z79" w:id="45"/>
    <w:p>
      <w:pPr>
        <w:spacing w:after="0"/>
        <w:ind w:left="0"/>
        <w:jc w:val="both"/>
      </w:pPr>
      <w:r>
        <w:rPr>
          <w:rFonts w:ascii="Times New Roman"/>
          <w:b w:val="false"/>
          <w:i w:val="false"/>
          <w:color w:val="000000"/>
          <w:sz w:val="28"/>
        </w:rPr>
        <w:t xml:space="preserve">
      * Растительные масла и масложировая продукция, указанные в данном перечне, подлежат маркировке средствами идентификации в случае если используются для употребления в пищу или при производстве продуктов, используемых для употребления в пищу.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119</w:t>
            </w:r>
          </w:p>
        </w:tc>
      </w:tr>
    </w:tbl>
    <w:bookmarkStart w:name="z81" w:id="46"/>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46"/>
    <w:bookmarkStart w:name="z82" w:id="47"/>
    <w:p>
      <w:pPr>
        <w:spacing w:after="0"/>
        <w:ind w:left="0"/>
        <w:jc w:val="both"/>
      </w:pPr>
      <w:r>
        <w:rPr>
          <w:rFonts w:ascii="Times New Roman"/>
          <w:b w:val="false"/>
          <w:i w:val="false"/>
          <w:color w:val="000000"/>
          <w:sz w:val="28"/>
        </w:rPr>
        <w:t xml:space="preserve">
      1. Настоящий документ разработан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 статьи 5 Соглашения о маркировке товаров средствами идентификации в Евразийском экономическом союзе от 2 февраля 2018 года.</w:t>
      </w:r>
    </w:p>
    <w:bookmarkEnd w:id="47"/>
    <w:bookmarkStart w:name="z83" w:id="48"/>
    <w:p>
      <w:pPr>
        <w:spacing w:after="0"/>
        <w:ind w:left="0"/>
        <w:jc w:val="both"/>
      </w:pPr>
      <w:r>
        <w:rPr>
          <w:rFonts w:ascii="Times New Roman"/>
          <w:b w:val="false"/>
          <w:i w:val="false"/>
          <w:color w:val="000000"/>
          <w:sz w:val="28"/>
        </w:rPr>
        <w:t>
      2. Для маркировки потребительской и групповой упаковки растительных масел и масложировой продукции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29 ноября 2024 г. № 119 ,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маркировкив средство идентификации должна применяться символика ЕСС 200,с использованием знака FNC1 как признака соответствия данных типовому формату идентификаторов применения (AI) GS1.</w:t>
      </w:r>
    </w:p>
    <w:bookmarkEnd w:id="48"/>
    <w:bookmarkStart w:name="z84" w:id="49"/>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49"/>
    <w:bookmarkStart w:name="z85" w:id="50"/>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50"/>
    <w:bookmarkStart w:name="z86" w:id="51"/>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w:t>
      </w:r>
    </w:p>
    <w:bookmarkEnd w:id="51"/>
    <w:bookmarkStart w:name="z87" w:id="52"/>
    <w:p>
      <w:pPr>
        <w:spacing w:after="0"/>
        <w:ind w:left="0"/>
        <w:jc w:val="both"/>
      </w:pPr>
      <w:r>
        <w:rPr>
          <w:rFonts w:ascii="Times New Roman"/>
          <w:b w:val="false"/>
          <w:i w:val="false"/>
          <w:color w:val="000000"/>
          <w:sz w:val="28"/>
        </w:rPr>
        <w:t>
      В качестве первого символа указывается идентификатор государства-члена, в котором данный код был эмитирован (1 А (a) – Республика Армения, 2 или B (b) – Республика Беларусь, 3 или C (с) – Республика Казахстан, 4 или D (d) – Кыргызская Республика, 5 или E (е)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52"/>
    <w:bookmarkStart w:name="z88" w:id="53"/>
    <w:p>
      <w:pPr>
        <w:spacing w:after="0"/>
        <w:ind w:left="0"/>
        <w:jc w:val="both"/>
      </w:pPr>
      <w:r>
        <w:rPr>
          <w:rFonts w:ascii="Times New Roman"/>
          <w:b w:val="false"/>
          <w:i w:val="false"/>
          <w:color w:val="000000"/>
          <w:sz w:val="28"/>
        </w:rPr>
        <w:t>
      третья группа данных (идентификатор применения (91)) – ключ проверки,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53"/>
    <w:bookmarkStart w:name="z89" w:id="54"/>
    <w:p>
      <w:pPr>
        <w:spacing w:after="0"/>
        <w:ind w:left="0"/>
        <w:jc w:val="both"/>
      </w:pPr>
      <w:r>
        <w:rPr>
          <w:rFonts w:ascii="Times New Roman"/>
          <w:b w:val="false"/>
          <w:i w:val="false"/>
          <w:color w:val="000000"/>
          <w:sz w:val="28"/>
        </w:rPr>
        <w:t>
      четвертая группа данных (идентификатор применения (92)) – код проверки, который состоит из 44 символов (цифр, строчных и прописных букв латинского алфавита, а также специальных символов).</w:t>
      </w:r>
    </w:p>
    <w:bookmarkEnd w:id="54"/>
    <w:bookmarkStart w:name="z90" w:id="55"/>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w:t>
      </w:r>
      <w:r>
        <w:rPr>
          <w:rFonts w:ascii="Times New Roman"/>
          <w:b w:val="false"/>
          <w:i w:val="false"/>
          <w:color w:val="000000"/>
          <w:sz w:val="28"/>
        </w:rPr>
        <w:t>подпунктами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 (далее – Решение Совета Комиссии от 23 апреля 2021 г. № 41).</w:t>
      </w:r>
    </w:p>
    <w:bookmarkEnd w:id="55"/>
    <w:bookmarkStart w:name="z91" w:id="56"/>
    <w:p>
      <w:pPr>
        <w:spacing w:after="0"/>
        <w:ind w:left="0"/>
        <w:jc w:val="both"/>
      </w:pPr>
      <w:r>
        <w:rPr>
          <w:rFonts w:ascii="Times New Roman"/>
          <w:b w:val="false"/>
          <w:i w:val="false"/>
          <w:color w:val="000000"/>
          <w:sz w:val="28"/>
        </w:rPr>
        <w:t xml:space="preserve">
      В случае отсутствия у участника оборота товаров возможности нанесения средства идентификации, содержащего четыре группы данных, в связи с размерами потребительской упаковки, не позволяющими разместить символ Data Matrix размером и качеством, соответствующий требованиям международного стандарта либо идентичного ему национального стандарта государства-члена, указанных в пункте 2 настоящего документа, такой участник оборота вправе применять средство идентификации, включающее три группы данных. </w:t>
      </w:r>
    </w:p>
    <w:bookmarkEnd w:id="56"/>
    <w:bookmarkStart w:name="z92" w:id="57"/>
    <w:p>
      <w:pPr>
        <w:spacing w:after="0"/>
        <w:ind w:left="0"/>
        <w:jc w:val="both"/>
      </w:pPr>
      <w:r>
        <w:rPr>
          <w:rFonts w:ascii="Times New Roman"/>
          <w:b w:val="false"/>
          <w:i w:val="false"/>
          <w:color w:val="000000"/>
          <w:sz w:val="28"/>
        </w:rPr>
        <w:t xml:space="preserve">
      В этом случае третья группа данных (идентификатор применения (93)) содержит код проверки, который состоит из 4 символов (цифр, строчных и прописных букв латинского алфавита, а также специальных символов) и используется в соответствии с </w:t>
      </w:r>
      <w:r>
        <w:rPr>
          <w:rFonts w:ascii="Times New Roman"/>
          <w:b w:val="false"/>
          <w:i w:val="false"/>
          <w:color w:val="000000"/>
          <w:sz w:val="28"/>
        </w:rPr>
        <w:t>подпунктом "в"</w:t>
      </w:r>
      <w:r>
        <w:rPr>
          <w:rFonts w:ascii="Times New Roman"/>
          <w:b w:val="false"/>
          <w:i w:val="false"/>
          <w:color w:val="000000"/>
          <w:sz w:val="28"/>
        </w:rPr>
        <w:t xml:space="preserve"> пункта 1 Решения Совета Комиссии от 23 апреля 2021 г. № 41.</w:t>
      </w:r>
    </w:p>
    <w:bookmarkEnd w:id="57"/>
    <w:bookmarkStart w:name="z93" w:id="58"/>
    <w:p>
      <w:pPr>
        <w:spacing w:after="0"/>
        <w:ind w:left="0"/>
        <w:jc w:val="both"/>
      </w:pPr>
      <w:r>
        <w:rPr>
          <w:rFonts w:ascii="Times New Roman"/>
          <w:b w:val="false"/>
          <w:i w:val="false"/>
          <w:color w:val="000000"/>
          <w:sz w:val="28"/>
        </w:rPr>
        <w:t>
      Решение о применении средства идентификации, содержащего четыре или три группы данных, принимается участником оборота товаров самостоятельно, с учетом положений настоящего пункта.</w:t>
      </w:r>
    </w:p>
    <w:bookmarkEnd w:id="58"/>
    <w:bookmarkStart w:name="z94" w:id="59"/>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или участниками оборота товаров.</w:t>
      </w:r>
    </w:p>
    <w:bookmarkEnd w:id="59"/>
    <w:bookmarkStart w:name="z95" w:id="60"/>
    <w:p>
      <w:pPr>
        <w:spacing w:after="0"/>
        <w:ind w:left="0"/>
        <w:jc w:val="both"/>
      </w:pPr>
      <w:r>
        <w:rPr>
          <w:rFonts w:ascii="Times New Roman"/>
          <w:b w:val="false"/>
          <w:i w:val="false"/>
          <w:color w:val="000000"/>
          <w:sz w:val="28"/>
        </w:rPr>
        <w:t xml:space="preserve">
      5. Товары маркируются путем нанесения средства идентификации, или материального носителя, содержащего средство идентификации, на потребительскую упаковку способом, не допускающим отделения средства идентификации без его повреждений. </w:t>
      </w:r>
    </w:p>
    <w:bookmarkEnd w:id="60"/>
    <w:bookmarkStart w:name="z96" w:id="61"/>
    <w:p>
      <w:pPr>
        <w:spacing w:after="0"/>
        <w:ind w:left="0"/>
        <w:jc w:val="both"/>
      </w:pPr>
      <w:r>
        <w:rPr>
          <w:rFonts w:ascii="Times New Roman"/>
          <w:b w:val="false"/>
          <w:i w:val="false"/>
          <w:color w:val="000000"/>
          <w:sz w:val="28"/>
        </w:rPr>
        <w:t>
      6. При комплектации маркированных товаров в групповую упаковку на такую упаковку может наноситься средство идентификации, или материальный носитель, содержащий средство идентификации, с агрегированием средств идентификации товаров, помещенных в такую упаковку.</w:t>
      </w:r>
    </w:p>
    <w:bookmarkEnd w:id="61"/>
    <w:bookmarkStart w:name="z97" w:id="62"/>
    <w:p>
      <w:pPr>
        <w:spacing w:after="0"/>
        <w:ind w:left="0"/>
        <w:jc w:val="both"/>
      </w:pPr>
      <w:r>
        <w:rPr>
          <w:rFonts w:ascii="Times New Roman"/>
          <w:b w:val="false"/>
          <w:i w:val="false"/>
          <w:color w:val="000000"/>
          <w:sz w:val="28"/>
        </w:rPr>
        <w:t>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w:t>
      </w:r>
    </w:p>
    <w:bookmarkEnd w:id="62"/>
    <w:bookmarkStart w:name="z98" w:id="63"/>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119</w:t>
            </w:r>
          </w:p>
        </w:tc>
      </w:tr>
    </w:tbl>
    <w:bookmarkStart w:name="z100" w:id="64"/>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64"/>
    <w:bookmarkStart w:name="z101" w:id="65"/>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растительных маслах и масложировой продукции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29 ноября 2024 г. № 119 (далее – перечень товаров, подлежащих маркировке), и их средствах идентификации (далее – сведения о маркированных товарах) в XML-формате в соответствии со следующими стандартами:</w:t>
      </w:r>
    </w:p>
    <w:bookmarkEnd w:id="65"/>
    <w:bookmarkStart w:name="z102" w:id="66"/>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66"/>
    <w:bookmarkStart w:name="z103" w:id="67"/>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67"/>
    <w:bookmarkStart w:name="z104" w:id="68"/>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http://www.w3.org/TR/xmlschema-1/и http://www.w3.org/TR/xmlschema-2/).</w:t>
      </w:r>
    </w:p>
    <w:bookmarkEnd w:id="68"/>
    <w:bookmarkStart w:name="z105" w:id="69"/>
    <w:p>
      <w:pPr>
        <w:spacing w:after="0"/>
        <w:ind w:left="0"/>
        <w:jc w:val="both"/>
      </w:pPr>
      <w:r>
        <w:rPr>
          <w:rFonts w:ascii="Times New Roman"/>
          <w:b w:val="false"/>
          <w:i w:val="false"/>
          <w:color w:val="000000"/>
          <w:sz w:val="28"/>
        </w:rPr>
        <w:t>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указанных в перечне товаров, подлежащих маркировке, и правил формирования реквизита "Блок данных средства идентификации", используемых при маркировке товаров, указанных в перечне товаров, подлежащих маркировке, приведенных в таблицах 1 – 4 настоящих требований.</w:t>
      </w:r>
    </w:p>
    <w:bookmarkEnd w:id="69"/>
    <w:bookmarkStart w:name="z106" w:id="70"/>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70"/>
    <w:bookmarkStart w:name="z107" w:id="71"/>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9" w:id="72"/>
    <w:p>
      <w:pPr>
        <w:spacing w:after="0"/>
        <w:ind w:left="0"/>
        <w:jc w:val="left"/>
      </w:pPr>
      <w:r>
        <w:rPr>
          <w:rFonts w:ascii="Times New Roman"/>
          <w:b/>
          <w:i w:val="false"/>
          <w:color w:val="000000"/>
        </w:rPr>
        <w:t xml:space="preserve"> Перечень сведений о характеристиках товара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 например, масло оливковое, масло подсолнечное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формируется в свободной форме</w:t>
            </w:r>
          </w:p>
          <w:bookmarkEnd w:id="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Товарный знак (бренд)</w:t>
            </w:r>
          </w:p>
          <w:bookmarkEnd w:id="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 товарного знака и (или) номер международной регистрации товарного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при наличии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Масса нетто или объем продукции</w:t>
            </w:r>
          </w:p>
          <w:bookmarkEnd w:id="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в потребительской упаковке или его объем с указанием единицы измерения (г, кг, мл,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1</w:t>
            </w:r>
          </w:p>
          <w:bookmarkEnd w:id="7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отнесения товара к товарам для детского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признак принимает значение:</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"да" – детское питание;</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Основной вид сырья</w:t>
            </w:r>
          </w:p>
          <w:bookmarkEnd w:id="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указывается наименование основного вида сырья, использованного для изготовления товара.</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Элемент обязателен для товаров, классифицируемых в товарной позиции 1517 ТН ВЭД ЕАЭС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годности и условия 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и условия хранения, при которых товар сохраняет годность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описание типа потребительской упаковки, сформированное с использованием гармонизированных со стандартами GS1 наименований типов упаковок</w:t>
            </w:r>
          </w:p>
          <w:bookmarkEnd w:id="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bookmarkEnd w:id="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характеристика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указывается одно из значений:</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потребительская стеклянная или полимерная";</w:t>
            </w:r>
          </w:p>
          <w:p>
            <w:pPr>
              <w:spacing w:after="20"/>
              <w:ind w:left="20"/>
              <w:jc w:val="both"/>
            </w:pPr>
            <w:r>
              <w:rPr>
                <w:rFonts w:ascii="Times New Roman"/>
                <w:b w:val="false"/>
                <w:i w:val="false"/>
                <w:color w:val="000000"/>
                <w:sz w:val="20"/>
              </w:rPr>
              <w:t>
"упаковка потребительская, кроме стеклянной или полимерной"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xml:space="preserve">
Количество потребительских упаковок в групповой упаковке </w:t>
            </w:r>
          </w:p>
          <w:bookmarkEnd w:id="84"/>
          <w:p>
            <w:pPr>
              <w:spacing w:after="20"/>
              <w:ind w:left="20"/>
              <w:jc w:val="both"/>
            </w:pPr>
            <w:r>
              <w:rPr>
                <w:rFonts w:ascii="Times New Roman"/>
                <w:b w:val="false"/>
                <w:i w:val="false"/>
                <w:color w:val="000000"/>
                <w:sz w:val="20"/>
              </w:rPr>
              <w:t>
(для групповых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вложений потребительских упаковок в групповой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качественного состава товара с указанием входящих в него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в свободной форме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Единица измерения белков, жиров, углеводов</w:t>
            </w:r>
          </w:p>
          <w:bookmarkEnd w:id="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единица измерения белков, жиров и углеводов в соответствии с информацией на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указывается одно из значений:</w:t>
            </w:r>
          </w:p>
          <w:bookmarkEnd w:id="86"/>
          <w:p>
            <w:pPr>
              <w:spacing w:after="20"/>
              <w:ind w:left="20"/>
              <w:jc w:val="both"/>
            </w:pPr>
            <w:r>
              <w:rPr>
                <w:rFonts w:ascii="Times New Roman"/>
                <w:b w:val="false"/>
                <w:i w:val="false"/>
                <w:color w:val="000000"/>
                <w:sz w:val="20"/>
              </w:rPr>
              <w:t xml:space="preserve">
"г/100г"; </w:t>
            </w:r>
          </w:p>
          <w:p>
            <w:pPr>
              <w:spacing w:after="20"/>
              <w:ind w:left="20"/>
              <w:jc w:val="both"/>
            </w:pPr>
            <w:r>
              <w:rPr>
                <w:rFonts w:ascii="Times New Roman"/>
                <w:b w:val="false"/>
                <w:i w:val="false"/>
                <w:color w:val="000000"/>
                <w:sz w:val="20"/>
              </w:rPr>
              <w:t xml:space="preserve">"г/100мл"; </w:t>
            </w:r>
          </w:p>
          <w:p>
            <w:pPr>
              <w:spacing w:after="20"/>
              <w:ind w:left="20"/>
              <w:jc w:val="both"/>
            </w:pPr>
            <w:r>
              <w:rPr>
                <w:rFonts w:ascii="Times New Roman"/>
                <w:b w:val="false"/>
                <w:i w:val="false"/>
                <w:color w:val="000000"/>
                <w:sz w:val="20"/>
              </w:rPr>
              <w:t>"г/порция"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соответствии с информацией на потребительской упаковке с указанием типа ("Точное значение",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белков указывается значение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соответствии с информацией на потребительской упаковке с указанием типа ("Точное значение",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жиров указывается значение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соответствии с информацией на потребительской упаковке с указанием типа ("Точное значение",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углеводов указывается значение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энергетической ценности, ккал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единица измерения энергетической ценности (в килокалориях) в соответствии с информацией на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указывается одно из значений:</w:t>
            </w:r>
          </w:p>
          <w:bookmarkEnd w:id="87"/>
          <w:p>
            <w:pPr>
              <w:spacing w:after="20"/>
              <w:ind w:left="20"/>
              <w:jc w:val="both"/>
            </w:pPr>
            <w:r>
              <w:rPr>
                <w:rFonts w:ascii="Times New Roman"/>
                <w:b w:val="false"/>
                <w:i w:val="false"/>
                <w:color w:val="000000"/>
                <w:sz w:val="20"/>
              </w:rPr>
              <w:t xml:space="preserve">
"ккал/100г"; </w:t>
            </w:r>
          </w:p>
          <w:p>
            <w:pPr>
              <w:spacing w:after="20"/>
              <w:ind w:left="20"/>
              <w:jc w:val="both"/>
            </w:pPr>
            <w:r>
              <w:rPr>
                <w:rFonts w:ascii="Times New Roman"/>
                <w:b w:val="false"/>
                <w:i w:val="false"/>
                <w:color w:val="000000"/>
                <w:sz w:val="20"/>
              </w:rPr>
              <w:t xml:space="preserve">"ккал/100мл"; </w:t>
            </w:r>
          </w:p>
          <w:p>
            <w:pPr>
              <w:spacing w:after="20"/>
              <w:ind w:left="20"/>
              <w:jc w:val="both"/>
            </w:pPr>
            <w:r>
              <w:rPr>
                <w:rFonts w:ascii="Times New Roman"/>
                <w:b w:val="false"/>
                <w:i w:val="false"/>
                <w:color w:val="000000"/>
                <w:sz w:val="20"/>
              </w:rPr>
              <w:t>"ккал/порция"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соответствии с информацией на потребительской упаковке с указанием типа ("Точное значение",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энергетической ценности указывается значение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энергетической ценности, кДж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единица измерения энергетической ценности (в килоджоулях) в соответствии с информацией на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указывается одно из значений:</w:t>
            </w:r>
          </w:p>
          <w:bookmarkEnd w:id="88"/>
          <w:p>
            <w:pPr>
              <w:spacing w:after="20"/>
              <w:ind w:left="20"/>
              <w:jc w:val="both"/>
            </w:pPr>
            <w:r>
              <w:rPr>
                <w:rFonts w:ascii="Times New Roman"/>
                <w:b w:val="false"/>
                <w:i w:val="false"/>
                <w:color w:val="000000"/>
                <w:sz w:val="20"/>
              </w:rPr>
              <w:t xml:space="preserve">
"кДж/100г"; </w:t>
            </w:r>
          </w:p>
          <w:p>
            <w:pPr>
              <w:spacing w:after="20"/>
              <w:ind w:left="20"/>
              <w:jc w:val="both"/>
            </w:pPr>
            <w:r>
              <w:rPr>
                <w:rFonts w:ascii="Times New Roman"/>
                <w:b w:val="false"/>
                <w:i w:val="false"/>
                <w:color w:val="000000"/>
                <w:sz w:val="20"/>
              </w:rPr>
              <w:t xml:space="preserve">"кДж/100мл"; </w:t>
            </w:r>
          </w:p>
          <w:p>
            <w:pPr>
              <w:spacing w:after="20"/>
              <w:ind w:left="20"/>
              <w:jc w:val="both"/>
            </w:pPr>
            <w:r>
              <w:rPr>
                <w:rFonts w:ascii="Times New Roman"/>
                <w:b w:val="false"/>
                <w:i w:val="false"/>
                <w:color w:val="000000"/>
                <w:sz w:val="20"/>
              </w:rPr>
              <w:t>"кДж/порция"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кДж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соответствии с информацией на потребительской упаковке с указанием типа ("Точное значение",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энергетической ценности указывается значение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1" w:id="89"/>
    <w:p>
      <w:pPr>
        <w:spacing w:after="0"/>
        <w:ind w:left="0"/>
        <w:jc w:val="left"/>
      </w:pPr>
      <w:r>
        <w:rPr>
          <w:rFonts w:ascii="Times New Roman"/>
          <w:b/>
          <w:i w:val="false"/>
          <w:color w:val="000000"/>
        </w:rPr>
        <w:t xml:space="preserve"> Перечень сведений о единице товара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Наименование</w:t>
            </w:r>
          </w:p>
          <w:bookmarkEnd w:id="90"/>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 w:id="91"/>
    <w:p>
      <w:pPr>
        <w:spacing w:after="0"/>
        <w:ind w:left="0"/>
        <w:jc w:val="both"/>
      </w:pPr>
      <w:r>
        <w:rPr>
          <w:rFonts w:ascii="Times New Roman"/>
          <w:b w:val="false"/>
          <w:i w:val="false"/>
          <w:color w:val="000000"/>
          <w:sz w:val="28"/>
        </w:rPr>
        <w:t>
      ________________</w:t>
      </w:r>
    </w:p>
    <w:bookmarkEnd w:id="91"/>
    <w:bookmarkStart w:name="z134" w:id="92"/>
    <w:p>
      <w:pPr>
        <w:spacing w:after="0"/>
        <w:ind w:left="0"/>
        <w:jc w:val="both"/>
      </w:pPr>
      <w:r>
        <w:rPr>
          <w:rFonts w:ascii="Times New Roman"/>
          <w:b w:val="false"/>
          <w:i w:val="false"/>
          <w:color w:val="000000"/>
          <w:sz w:val="28"/>
        </w:rPr>
        <w:t>
      &lt;*&gt;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bookmarkEnd w:id="92"/>
    <w:bookmarkStart w:name="z135" w:id="93"/>
    <w:p>
      <w:pPr>
        <w:spacing w:after="0"/>
        <w:ind w:left="0"/>
        <w:jc w:val="both"/>
      </w:pPr>
      <w:r>
        <w:rPr>
          <w:rFonts w:ascii="Times New Roman"/>
          <w:b w:val="false"/>
          <w:i w:val="false"/>
          <w:color w:val="000000"/>
          <w:sz w:val="28"/>
        </w:rPr>
        <w:t>
      В случае передачи сведений должны быть заполнены оба элемента, указанные под номером 1 и под номером 2.</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7" w:id="94"/>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указанных в перечне товаров, подлежащих маркировке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Полное наименование AI</w:t>
            </w:r>
          </w:p>
          <w:bookmarkEnd w:id="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97"/>
          <w:p>
            <w:pPr>
              <w:spacing w:after="20"/>
              <w:ind w:left="20"/>
              <w:jc w:val="both"/>
            </w:pPr>
            <w:r>
              <w:rPr>
                <w:rFonts w:ascii="Times New Roman"/>
                <w:b w:val="false"/>
                <w:i w:val="false"/>
                <w:color w:val="000000"/>
                <w:sz w:val="20"/>
              </w:rPr>
              <w:t>
(Global Trade Item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xml:space="preserve">
GTIN (Global Trade Item Number) – </w:t>
            </w:r>
          </w:p>
          <w:bookmarkEnd w:id="98"/>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Серийный номер</w:t>
            </w:r>
          </w:p>
          <w:bookmarkEnd w:id="99"/>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0"/>
          <w:p>
            <w:pPr>
              <w:spacing w:after="20"/>
              <w:ind w:left="20"/>
              <w:jc w:val="both"/>
            </w:pPr>
            <w:r>
              <w:rPr>
                <w:rFonts w:ascii="Times New Roman"/>
                <w:b w:val="false"/>
                <w:i w:val="false"/>
                <w:color w:val="000000"/>
                <w:sz w:val="20"/>
              </w:rPr>
              <w:t>
серийный номер (Serial Number)</w:t>
            </w:r>
          </w:p>
          <w:bookmarkEnd w:id="10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(21) показывает, что поле размером 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 Пояснение: для целей идентификации товаров используется индивидуальный серийный номер товара, состоящий 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значение кода проверки, создаваемого</w:t>
            </w:r>
          </w:p>
          <w:bookmarkEnd w:id="101"/>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47" w:id="102"/>
    <w:p>
      <w:pPr>
        <w:spacing w:after="0"/>
        <w:ind w:left="0"/>
        <w:jc w:val="left"/>
      </w:pPr>
      <w:r>
        <w:rPr>
          <w:rFonts w:ascii="Times New Roman"/>
          <w:b/>
          <w:i w:val="false"/>
          <w:color w:val="000000"/>
        </w:rPr>
        <w:t xml:space="preserve"> Правила формирования реквизита "Блок данных средства идентификации", используемые при маркировке товаров, указанных в перечне товаров, подлежащих маркировке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потребительскую или групповую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 или "93";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идентификатор ключа проверки или значение кода проверки (применяются в соответствии 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четвертому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"92";</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значение кода проверки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101</w:t>
            </w:r>
          </w:p>
          <w:bookmarkEnd w:id="104"/>
          <w:p>
            <w:pPr>
              <w:spacing w:after="20"/>
              <w:ind w:left="20"/>
              <w:jc w:val="both"/>
            </w:pPr>
            <w:r>
              <w:rPr>
                <w:rFonts w:ascii="Times New Roman"/>
                <w:b w:val="false"/>
                <w:i w:val="false"/>
                <w:color w:val="000000"/>
                <w:sz w:val="20"/>
              </w:rPr>
              <w:t>
или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ноября 2024 г. № 119</w:t>
            </w:r>
          </w:p>
        </w:tc>
      </w:tr>
    </w:tbl>
    <w:bookmarkStart w:name="z165" w:id="106"/>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06"/>
    <w:bookmarkStart w:name="z166" w:id="107"/>
    <w:p>
      <w:pPr>
        <w:spacing w:after="0"/>
        <w:ind w:left="0"/>
        <w:jc w:val="both"/>
      </w:pPr>
      <w:r>
        <w:rPr>
          <w:rFonts w:ascii="Times New Roman"/>
          <w:b w:val="false"/>
          <w:i w:val="false"/>
          <w:color w:val="000000"/>
          <w:sz w:val="28"/>
        </w:rPr>
        <w:t>
      1. Глобальный номер торговой единицы (Global Trade Item Number (GTIN)).</w:t>
      </w:r>
    </w:p>
    <w:bookmarkEnd w:id="107"/>
    <w:bookmarkStart w:name="z167" w:id="108"/>
    <w:p>
      <w:pPr>
        <w:spacing w:after="0"/>
        <w:ind w:left="0"/>
        <w:jc w:val="both"/>
      </w:pPr>
      <w:r>
        <w:rPr>
          <w:rFonts w:ascii="Times New Roman"/>
          <w:b w:val="false"/>
          <w:i w:val="false"/>
          <w:color w:val="000000"/>
          <w:sz w:val="28"/>
        </w:rPr>
        <w:t>
      2. Индивидуальный серийный номер единицы товара (SN).</w:t>
      </w:r>
    </w:p>
    <w:bookmarkEnd w:id="108"/>
    <w:bookmarkStart w:name="z168" w:id="109"/>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109"/>
    <w:bookmarkStart w:name="z169" w:id="110"/>
    <w:p>
      <w:pPr>
        <w:spacing w:after="0"/>
        <w:ind w:left="0"/>
        <w:jc w:val="both"/>
      </w:pPr>
      <w:r>
        <w:rPr>
          <w:rFonts w:ascii="Times New Roman"/>
          <w:b w:val="false"/>
          <w:i w:val="false"/>
          <w:color w:val="000000"/>
          <w:sz w:val="28"/>
        </w:rPr>
        <w:t>
      4. Функциональное наименование товара (вид товара).</w:t>
      </w:r>
    </w:p>
    <w:bookmarkEnd w:id="110"/>
    <w:bookmarkStart w:name="z170" w:id="111"/>
    <w:p>
      <w:pPr>
        <w:spacing w:after="0"/>
        <w:ind w:left="0"/>
        <w:jc w:val="both"/>
      </w:pPr>
      <w:r>
        <w:rPr>
          <w:rFonts w:ascii="Times New Roman"/>
          <w:b w:val="false"/>
          <w:i w:val="false"/>
          <w:color w:val="000000"/>
          <w:sz w:val="28"/>
        </w:rPr>
        <w:t>
      5. Наименование товара на этикетке.</w:t>
      </w:r>
    </w:p>
    <w:bookmarkEnd w:id="111"/>
    <w:bookmarkStart w:name="z171" w:id="112"/>
    <w:p>
      <w:pPr>
        <w:spacing w:after="0"/>
        <w:ind w:left="0"/>
        <w:jc w:val="both"/>
      </w:pPr>
      <w:r>
        <w:rPr>
          <w:rFonts w:ascii="Times New Roman"/>
          <w:b w:val="false"/>
          <w:i w:val="false"/>
          <w:color w:val="000000"/>
          <w:sz w:val="28"/>
        </w:rPr>
        <w:t>
      6. Товарный знак (бренд).</w:t>
      </w:r>
    </w:p>
    <w:bookmarkEnd w:id="112"/>
    <w:bookmarkStart w:name="z172" w:id="113"/>
    <w:p>
      <w:pPr>
        <w:spacing w:after="0"/>
        <w:ind w:left="0"/>
        <w:jc w:val="both"/>
      </w:pPr>
      <w:r>
        <w:rPr>
          <w:rFonts w:ascii="Times New Roman"/>
          <w:b w:val="false"/>
          <w:i w:val="false"/>
          <w:color w:val="000000"/>
          <w:sz w:val="28"/>
        </w:rPr>
        <w:t>
      7. Сведения о товаре:</w:t>
      </w:r>
    </w:p>
    <w:bookmarkEnd w:id="113"/>
    <w:bookmarkStart w:name="z173" w:id="114"/>
    <w:p>
      <w:pPr>
        <w:spacing w:after="0"/>
        <w:ind w:left="0"/>
        <w:jc w:val="both"/>
      </w:pPr>
      <w:r>
        <w:rPr>
          <w:rFonts w:ascii="Times New Roman"/>
          <w:b w:val="false"/>
          <w:i w:val="false"/>
          <w:color w:val="000000"/>
          <w:sz w:val="28"/>
        </w:rPr>
        <w:t>
      состав товара с указанием входящих в него компонентов (качественный);</w:t>
      </w:r>
    </w:p>
    <w:bookmarkEnd w:id="114"/>
    <w:bookmarkStart w:name="z174" w:id="115"/>
    <w:p>
      <w:pPr>
        <w:spacing w:after="0"/>
        <w:ind w:left="0"/>
        <w:jc w:val="both"/>
      </w:pPr>
      <w:r>
        <w:rPr>
          <w:rFonts w:ascii="Times New Roman"/>
          <w:b w:val="false"/>
          <w:i w:val="false"/>
          <w:color w:val="000000"/>
          <w:sz w:val="28"/>
        </w:rPr>
        <w:t>
      масса нетто или объем товара;</w:t>
      </w:r>
    </w:p>
    <w:bookmarkEnd w:id="115"/>
    <w:bookmarkStart w:name="z175" w:id="116"/>
    <w:p>
      <w:pPr>
        <w:spacing w:after="0"/>
        <w:ind w:left="0"/>
        <w:jc w:val="both"/>
      </w:pPr>
      <w:r>
        <w:rPr>
          <w:rFonts w:ascii="Times New Roman"/>
          <w:b w:val="false"/>
          <w:i w:val="false"/>
          <w:color w:val="000000"/>
          <w:sz w:val="28"/>
        </w:rPr>
        <w:t>
      количество белков, жиров, углеводов ("г/100г" или "г/100мл" или "г/порция");</w:t>
      </w:r>
    </w:p>
    <w:bookmarkEnd w:id="116"/>
    <w:bookmarkStart w:name="z176" w:id="117"/>
    <w:p>
      <w:pPr>
        <w:spacing w:after="0"/>
        <w:ind w:left="0"/>
        <w:jc w:val="both"/>
      </w:pPr>
      <w:r>
        <w:rPr>
          <w:rFonts w:ascii="Times New Roman"/>
          <w:b w:val="false"/>
          <w:i w:val="false"/>
          <w:color w:val="000000"/>
          <w:sz w:val="28"/>
        </w:rPr>
        <w:t>
      энергетическая ценность в ккал ("ккал/100г" или "ккал/100мл" или "ккал/порция");</w:t>
      </w:r>
    </w:p>
    <w:bookmarkEnd w:id="117"/>
    <w:bookmarkStart w:name="z177" w:id="118"/>
    <w:p>
      <w:pPr>
        <w:spacing w:after="0"/>
        <w:ind w:left="0"/>
        <w:jc w:val="both"/>
      </w:pPr>
      <w:r>
        <w:rPr>
          <w:rFonts w:ascii="Times New Roman"/>
          <w:b w:val="false"/>
          <w:i w:val="false"/>
          <w:color w:val="000000"/>
          <w:sz w:val="28"/>
        </w:rPr>
        <w:t>
      основной вид сырья (для товаров, классифицируемых в товарной позиции 1517 ТН ВЭД ЕАЭС);</w:t>
      </w:r>
    </w:p>
    <w:bookmarkEnd w:id="118"/>
    <w:bookmarkStart w:name="z178" w:id="119"/>
    <w:p>
      <w:pPr>
        <w:spacing w:after="0"/>
        <w:ind w:left="0"/>
        <w:jc w:val="both"/>
      </w:pPr>
      <w:r>
        <w:rPr>
          <w:rFonts w:ascii="Times New Roman"/>
          <w:b w:val="false"/>
          <w:i w:val="false"/>
          <w:color w:val="000000"/>
          <w:sz w:val="28"/>
        </w:rPr>
        <w:t>
      тип упаковки;</w:t>
      </w:r>
    </w:p>
    <w:bookmarkEnd w:id="119"/>
    <w:bookmarkStart w:name="z179" w:id="120"/>
    <w:p>
      <w:pPr>
        <w:spacing w:after="0"/>
        <w:ind w:left="0"/>
        <w:jc w:val="both"/>
      </w:pPr>
      <w:r>
        <w:rPr>
          <w:rFonts w:ascii="Times New Roman"/>
          <w:b w:val="false"/>
          <w:i w:val="false"/>
          <w:color w:val="000000"/>
          <w:sz w:val="28"/>
        </w:rPr>
        <w:t>
      материал упаковки;</w:t>
      </w:r>
    </w:p>
    <w:bookmarkEnd w:id="120"/>
    <w:bookmarkStart w:name="z180" w:id="121"/>
    <w:p>
      <w:pPr>
        <w:spacing w:after="0"/>
        <w:ind w:left="0"/>
        <w:jc w:val="both"/>
      </w:pPr>
      <w:r>
        <w:rPr>
          <w:rFonts w:ascii="Times New Roman"/>
          <w:b w:val="false"/>
          <w:i w:val="false"/>
          <w:color w:val="000000"/>
          <w:sz w:val="28"/>
        </w:rPr>
        <w:t>
      характеристика упаковки;</w:t>
      </w:r>
    </w:p>
    <w:bookmarkEnd w:id="121"/>
    <w:bookmarkStart w:name="z181" w:id="122"/>
    <w:p>
      <w:pPr>
        <w:spacing w:after="0"/>
        <w:ind w:left="0"/>
        <w:jc w:val="both"/>
      </w:pPr>
      <w:r>
        <w:rPr>
          <w:rFonts w:ascii="Times New Roman"/>
          <w:b w:val="false"/>
          <w:i w:val="false"/>
          <w:color w:val="000000"/>
          <w:sz w:val="28"/>
        </w:rPr>
        <w:t>
      дата производства;</w:t>
      </w:r>
    </w:p>
    <w:bookmarkEnd w:id="122"/>
    <w:bookmarkStart w:name="z182" w:id="123"/>
    <w:p>
      <w:pPr>
        <w:spacing w:after="0"/>
        <w:ind w:left="0"/>
        <w:jc w:val="both"/>
      </w:pPr>
      <w:r>
        <w:rPr>
          <w:rFonts w:ascii="Times New Roman"/>
          <w:b w:val="false"/>
          <w:i w:val="false"/>
          <w:color w:val="000000"/>
          <w:sz w:val="28"/>
        </w:rPr>
        <w:t>
      дата истечения срока годности;</w:t>
      </w:r>
    </w:p>
    <w:bookmarkEnd w:id="123"/>
    <w:bookmarkStart w:name="z183" w:id="124"/>
    <w:p>
      <w:pPr>
        <w:spacing w:after="0"/>
        <w:ind w:left="0"/>
        <w:jc w:val="both"/>
      </w:pPr>
      <w:r>
        <w:rPr>
          <w:rFonts w:ascii="Times New Roman"/>
          <w:b w:val="false"/>
          <w:i w:val="false"/>
          <w:color w:val="000000"/>
          <w:sz w:val="28"/>
        </w:rPr>
        <w:t>
      признак отнесения товара к товарам для детского питания.</w:t>
      </w:r>
    </w:p>
    <w:bookmarkEnd w:id="124"/>
    <w:bookmarkStart w:name="z184" w:id="125"/>
    <w:p>
      <w:pPr>
        <w:spacing w:after="0"/>
        <w:ind w:left="0"/>
        <w:jc w:val="both"/>
      </w:pPr>
      <w:r>
        <w:rPr>
          <w:rFonts w:ascii="Times New Roman"/>
          <w:b w:val="false"/>
          <w:i w:val="false"/>
          <w:color w:val="000000"/>
          <w:sz w:val="28"/>
        </w:rPr>
        <w:t>
      8.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документа).</w:t>
      </w:r>
    </w:p>
    <w:bookmarkEnd w:id="125"/>
    <w:bookmarkStart w:name="z185" w:id="126"/>
    <w:p>
      <w:pPr>
        <w:spacing w:after="0"/>
        <w:ind w:left="0"/>
        <w:jc w:val="both"/>
      </w:pPr>
      <w:r>
        <w:rPr>
          <w:rFonts w:ascii="Times New Roman"/>
          <w:b w:val="false"/>
          <w:i w:val="false"/>
          <w:color w:val="000000"/>
          <w:sz w:val="28"/>
        </w:rPr>
        <w:t>
      9. Страна происхождения товара.</w:t>
      </w:r>
    </w:p>
    <w:bookmarkEnd w:id="126"/>
    <w:bookmarkStart w:name="z186" w:id="127"/>
    <w:p>
      <w:pPr>
        <w:spacing w:after="0"/>
        <w:ind w:left="0"/>
        <w:jc w:val="both"/>
      </w:pPr>
      <w:r>
        <w:rPr>
          <w:rFonts w:ascii="Times New Roman"/>
          <w:b w:val="false"/>
          <w:i w:val="false"/>
          <w:color w:val="000000"/>
          <w:sz w:val="28"/>
        </w:rPr>
        <w:t>
      10.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127"/>
    <w:bookmarkStart w:name="z187" w:id="128"/>
    <w:p>
      <w:pPr>
        <w:spacing w:after="0"/>
        <w:ind w:left="0"/>
        <w:jc w:val="both"/>
      </w:pPr>
      <w:r>
        <w:rPr>
          <w:rFonts w:ascii="Times New Roman"/>
          <w:b w:val="false"/>
          <w:i w:val="false"/>
          <w:color w:val="000000"/>
          <w:sz w:val="28"/>
        </w:rPr>
        <w:t>
      11. Информация о производителе товара (краткое наименование юридического лица, фамилия, имя, отчество (при наличии) индивидуального предпринимателя) (указывается для товаров, произведенных на территории государств-членов).</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