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d3b2" w14:textId="89e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2024 года № 51.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</w:t>
      </w:r>
      <w:r>
        <w:rPr>
          <w:rFonts w:ascii="Times New Roman"/>
          <w:b/>
          <w:i w:val="false"/>
          <w:color w:val="000000"/>
          <w:sz w:val="28"/>
        </w:rPr>
        <w:t>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г. № 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10 дополнить словами "; средства и изделия гигиены полости рта для взрослых, за исключением средств гигиены полости рта, на которые распространяется технический регламент Таможенного союза "О безопасности парфюмерно-косметической продукции" (ТР ТС 009/2011)".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группу 33 перед позицией с кодом "из 3307"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гигиены полости рта или зубов, включая фиксирующие порошки и пасты для зубных протезов; нити, используемые для очистки межзубных промежутков (зубной шелк), в индивидуальной упаковке для розничной продажи";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группой 44 следующего содержания: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"Группа 44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нее; древесный уголь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деревянные прочие, относящиеся к пункту 10 настоящего раздела";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группу 73 дополнить позицией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7326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Скребки для языка".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