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cbba6" w14:textId="3acb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текущем состоянии и перспективах развития интегрированной информационной системе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26 января 2024 года № 3.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обсуждения актуализировать и принять к сведению доклад Евразийской экономической комиссии "О текущем состоянии и перспективах развития интегрированной информационной системы Евразийского экономического союза", представив его на рассмотрение Евразийского межправительственного совета.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совместно с уполномоченными органами государств-членов Евразийского экономического союза (далее – Союз):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комплексный анализ эффективности и востребованности общих процессов в рамках Союза (в том числе введенных в действие) и представить его результаты на очередном заседании Совета Евразийской экономической комиссии с предложениями по актуализации Перечня общих процессов в рамках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проведенного комплексного анализа представить предложения в сводный план-график проведения межгосударственного тестирования информационного взаимодействия уполномоченных органов государств-членов Союза, осуществляющих информационное взаимодействие в рамках соответствующего общего процесса в рамках Союза.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Члену Коллегии (Министру) по внутренним рынкам, информатизации, информационно-коммуникационным технологиям В.А. Симоняну о ходе исполнения указанного распоряжения докладывать на заседаниях Совета Евразийской экономической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