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cbdc" w14:textId="158c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перераспределении объемов финансирования между подпунктами 3.1 и 3.2 плана мероприятий по созданию, обеспечению функционирования и развитию интегрированной информационной системы Евразийского экономического союза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 апреля 2024 года № 36.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27 сентября 2023 г. № 26: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созданию, обеспечению функционирования и развитию интегрированной информационной системы Евразийского экономического союза в 2024 году, утвержденный распоряжением Совета Евразийской экономической комиссии от 27 сентября 2023 г. № 26,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 подпункте 3.1 в графе шестой цифры "17 886,5" заменить цифрами "7 386,5";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подпункте 3.2 в графе шестой цифры "73 799,4" заменить цифрами "84 299,4".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