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f623" w14:textId="7f6f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23 апреля 2024 г.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октября 2024 года № 112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апреля 2024 г. № 41 "О порядках формирования и ведения общих реестров лиц, осуществляющих деятельность в сфере таможенного дела"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обеспечить представление таможенными органами в Евразийскую экономическую комиссию реестров операторов электронной торговли не позднее 10 рабочих дней с даты вступления настоящего Решения в силу для первоначального размещения общего реестра операторов электронной торговли на официальном сайте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г. № 112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23 апреля 2024 г. № 41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формирования и ведения общего реестра операторов электронной торговли.".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Порядком формирования и ведения общего реестра операторов электронной торговли следующего содержания: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г. № 41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общего реестра операторов электронной торговли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реестр операторов электронной торговли (далее – общий реестр) является общим информационным ресурсом, содержащим сведения об операторах электронной торговли, формирование и ведение которого осуществляются Евразийской экономической комиссией (далее – Комиссия) с использованием средств интегрированной информационной системы Евразийского экономического союза (далее – Союз) на основе информационного взаимодействия между таможенными органами государств – членов Союза (далее соответственно – таможенные органы, государства-члены) и Комиссией, и подлежит размещению на официальном сайте Союза не реже 1 раза в месяц.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общего реестра по форме согласно приложению включают в себя получение реестров операторов электронной торговли государств-членов, систематизацию и хранение сведений, содержащихся в этих реестрах, а также актуализацию общего реестра на основе полученных реестров операторов электронной торговли государств-членов.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реестров операторов электронной торговли государств-членов для формирования общего реестра осуществляется таможенными органами.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органы направляют в Комиссию реестры операторов электронной торговли государств-членов не позднее 5 рабочих дней с даты внесения в них изменений (включение в реестр или исключение из реестра юридического лица, изменение сведений о юридическом лице, в том числе приостановление (возобновление) деятельности юридического лица в сфере таможенного дела, отмена решения об исключении юридического лица из реестра) официальным письмом с приложением реестров в формате *.doc или *.xlsx и на адреса электронной почты Комиссии: cis@eecommission.org и info@eecommission.org.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на основании реестров операторов электронной торговли государств-членов, представленных таможенными органами в соответствии с пунктом 4 настоящего Порядка, актуализирует общий реестр операторов электронной торговли и обеспечивает его размещение на официальном сайте Союза не позднее 1 рабочего дня с даты получения таких реестров.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общего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РЕЕСТР</w:t>
      </w:r>
      <w:r>
        <w:br/>
      </w:r>
      <w:r>
        <w:rPr>
          <w:rFonts w:ascii="Times New Roman"/>
          <w:b/>
          <w:i w:val="false"/>
          <w:color w:val="000000"/>
        </w:rPr>
        <w:t>операторов электронной торговли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союза, таможенным органом которого выдан документ, подтверждающий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реестре или номер документа, подтверждающего включение юридического лица в реестр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в регионе деятельности которого расположены сооружения, помещения (части помещений) и (или) открытые площадки (части открытых площадок), предназначенные для временного хранения товаров электронной торговли и (или) для хранения товаров электронной торговли, помещенных под таможенную процедуру таможенного склада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оператора электронной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Местонахождение, почтовый адрес, телефон, сайт в сети Интернет, адрес электронной почты оператора электронной торговли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номер оператора электронной торговли (УНН, УНП, БИН, ИНН (ПИН), ИНН)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сооружений, помещений (частей помещений) и (или) открытых площадок (частей открытых площадок), предназначенных для временного хранения товаров электронной торговли и (или) для хранения товаров электронной торговли, помещенных под таможенную процедуру таможенного склада, а также их площадь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сферы деятельности оператора электронной торговли (таможенные операции в отношении товаров электронной торговли, приобретенных физическими лицами, или товаров электронной торговли, предназначен-ных для реализации физическим лицам)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графе 7 указываются: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учетный номер налогоплательщика (УНН);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Беларусь – учетный номер плательщика (УНП);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бизнес-идентификационный номер (БИН);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Кыргызской Республики – идентификационный налоговый номер налогоплательщика (ИНН) или персональный идентификационный номер (ПИН);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идентификационный номер налогоплательщика (ИНН).".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