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93e" w14:textId="ba9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расчета макроэкономических показателей, определяющих устойчивость 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июля 2024 года № 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макроэкономических показателей, определяющих устойчивость экономического развития государств – членов Евразийского экономического союза, утвержденную Решением Коллегии Евразийской экономической комиссии от 25 июня 2013 г. № 144,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 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Методику расчета макроэкономических показателей, определяющих устойчивость экономического развития государств – членов Евразийского экономического союза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"Методологической основой расчета макроэкономических показателей, определяющих устойчивость экономического развития государств – членов Евразийского экономического союза (далее соответственно – показатели, государства-члены), являются Система национальных счетов (2008 год) и рекомендации Международного валютного фонда, изложенные в следующих документах: Руководство по статистике государственных финансов (2014 год), Статистика долга государственного сектора. Руководство для составителей и пользователей (2013 год), Руководство по индексу потребительских цен: теория и практика (2007 год).".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изложить в следующей редакции: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"займы, осуществляемые путем привлечения кредитов;";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шестой, восемнадцатый и двадцать третий исключить;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двадцать седьмой дополнить словами "и некоммерческое акционерное общество "Фонд обязательного медицинского страхования";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двадцать восьмом слова "при Правительстве Кыргызской Республики" заменить словами "при Министерстве здравоохранения Кыргызской Республики";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абзац двадцать девятый изложить в следующей редакции: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– Фонд пенсионного и социального страхования Российской Федерации, Федеральный фонд обязательного медицинского страхования, территориальные фонды обязательного медицинского страхования.".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абзацах четвертом – седьмом после слов "сектора государственного управления" дополнить словами "за отчетный период";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одиннадцатого дополнить абзацем следующего содержания: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дефицит (профицит) консолидированного бюджета сектора государственного управления за отчетный период, измеренный в единицах национальной валюты;";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двенадцатом слова "в текущих ценах финансового года" заменить словами "за отчетный период";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абзац тринадцатый изложить в следующей редакции: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самостоятельно рассчитывает показатель дефицита (профицита) консолидированного бюджета сектора государственного управления в процентах к валовому внутреннему продукту на основе предоставляемой уполномоченным органом в Комиссию информации.".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Долг сектора государственного управления рассчитывается по формуле: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 xml:space="preserve"> + Д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Д</w:t>
      </w:r>
      <w:r>
        <w:rPr>
          <w:rFonts w:ascii="Times New Roman"/>
          <w:b w:val="false"/>
          <w:i w:val="false"/>
          <w:color w:val="000000"/>
          <w:vertAlign w:val="subscript"/>
        </w:rPr>
        <w:t>МОУ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К,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сектора государственного управления;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центральных органов управления;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региональных органов управления;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МОУ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местных (муниципальных) органов управления;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К – взаимосвязанные показатели по консолидируемым позициям.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состоит из внешнего и внутреннего долга сектора государственного управления, выраженного в иностранной валюте (эквивалент объема долговых обязательств, выраженный в долларах США) и национальной валюте.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долга сектора государственного управления не включаются условные долговые обязательства сектора государственного управления и долговые обязательства органов денежно-кредитного регулирования.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долга сектора государственного управления определяется по номинальной стоимости.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долга сектора государственного управления в процентах к валовому внутреннему продукту рассчитывается как отношение суммы номинального объема долга сектора государственного управления (внешнего и внутреннего), выраженного в иностранной валюте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на конец отчетного периода, и номинального объема долга сектора государственного управления (внешнего и внутреннего), выраженного в национальной валюте на конец отчетного периода, к объему валового внутреннего продукта: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(%) – долг сектора государственного управления в процентах к валовому внутреннему продукту;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СГУВнеш’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внешнего долга сектора государственного управления в единицах иностранной валюты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государства-члена на конец отчетного периода;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внешнего долга сектора государственного управления в единицах национальной валюты на конец отчетного периода;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</w:t>
      </w:r>
      <w:r>
        <w:rPr>
          <w:rFonts w:ascii="Times New Roman"/>
          <w:b w:val="false"/>
          <w:i w:val="false"/>
          <w:color w:val="000000"/>
          <w:sz w:val="28"/>
        </w:rPr>
        <w:t>’ – объем внутреннего долга сектора государственного управления в единицах иностранной валюты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на конец отчетного периода;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внутреннего долга сектора государственного управления в единицах национальной валюты на конец отчетного периода;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объем валового внутреннего продукта в единицах национальной валюты в текущих ценах. Для расчета показателя долга сектора государственного управления в процентах к валовому внутреннему продукту на конец отчетного года используется годовой объем валового внутреннего продукта. Для расчета показателя долга сектора государственного управления в процентах к валовому внутреннему продукту на конец отчетного квартала используется совокупный объем валового внутреннего продукта за 4 квартала, включая объем валового внутреннего продукта в отчетном квартале.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самостоятельно рассчитывает показатель долга сектора государственного управления в процентах к валовому внутреннему продукту на основе предоставляемой уполномоченным органом в Комиссию информации.".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Уполномоченные органы с учетом положений пунктов 4 – 6 настоящей Методики предоставляют в Комиссию информацию по показателям согласно приложению, а также в соответствии со следующими форматами, утверждаемыми Комиссией: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консолидированного бюджета сектора государственного управления – форматы F12.01.01 и F12.01.04 "Бюджет сектора государственного управления (по методологии Международного валютного фонда, кассовым методом)";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– форматы F12.10.01 и F12.10.04 "Долговые обязательства государства";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цен) – формат F11.07.12 "Индексы потребительских цен";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– форматы F01.02.01 "Валовой внутренний продукт и образование доходов по видам экономической деятельности" и F01.07.04 "Валовой внутренний продукт".".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 90)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показателей, используемых для расчета макроэкономических показателей, определяющих устойчивость экономического развития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Операции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Платежи на обслуживание долга центральных органов управления, выплачиваемые из бюджета центральных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Операции с нефинансовыми активами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 центральных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Доходы бюджета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Расходы бюджета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Платежи на обслуживание долга региональных органов управления, выплачиваемые из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Операции с нефинансовыми активами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Дефицит (профицит)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Доходы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Расходы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Платежи на обслуживание долга местных (муниципальных) органов управления, выплачиваемые из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Операции с нефинансовыми активами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Дефицит (профицит)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Доходы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Расходы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Операции с нефинансовыми активами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Дефицит (профицит) бюджета фонда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Доходы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Расходы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Платежи на обслуживание долга сектора государственного управления, выплачиваемые из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Операции с нефинансовыми активами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Дефицит (профицит)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Средства национального (резервного) фонда на начало отчетного периода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Поступления в национальный (резервный) фонд в отчетном периоде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Использование национального (резервного) фонда в отчетном периоде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Средства национального (резервного) фонда на конец отчетного периода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Операции с финансовыми активами и обязательствами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Внутренние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Акции и другие формы участия в капитале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Прочая дебиторская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Внешние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Акции и другие формы участия в капитале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Прочая дебиторская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Монетарное золото и СДР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Внутренние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Валюта и депозиты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Прочая кредиторская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Внешние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Валюта и депозиты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Прочая кредиторская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Долг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Долг центрального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Внешний долг центрального правительства 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Внешний долг центрального правительства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Внутренний долг центрального правительства (в миллионах единиц иностранной валюты (эквивалент объема долговых обязательств, выраженный в долларах США)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Внутренний долг центрального правительства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Условные долговые обязательства центрального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Долг региональных органов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Внешний долг региональных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Внешний долг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Внутренний долг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Внутренний долг региональных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Условные долговые обязательства региональных органов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Долг местных (муниципальных) органов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Внешний долг местных (муниципальных)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Внешний долг местных (муниципальных)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Внутренний долг местных (муниципальных) органов управления (в миллионах единиц иностранной валюты ((эквивалент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Внутренний долг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Условные долговые обязательства местных (муниципальных) органов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Долг сектора государственного управления, за исключением взаимосвязанных показателей по консолидируемым позициям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Внешний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Внешний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Внутренний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Внутренний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Условные долговые обязательства сектора государственного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Классификационные коды, используемые в соответствии с Руководством по статистике государственных финансов (МВФ, 2014 год) для идентификации видов операций, других экономических потоков и позиций по запасам активов и обязательств.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Информация предоставляется в аналитических целях.".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