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c43c" w14:textId="ac7c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общего рынка газа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2024 года № 22.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необходимость обеспечения потребностей экономик государств - членов Евразийского экономического союза (далее соответственно - государства-члены, Союз) в газе и надежности его поставки, учитывая экономические интересы государств-членов, включая особенности функционирования и развития внутренних рынков газа государств-членов,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общий рынок газа Союза как сложившуюся по состоянию на 1 января 2025 г. систему взаимоотношений между государствами-членами в газовой сфере, сформированную с учетом законодательства государств-членов и международных договоров между государствами-членами.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 подготовить совместно с государствами-членами проект плана развития общего рынка газа Союза до 2030 года и представить его для рассмотрения Высшим Евразийским экономическим советом в 2026 году вместе с предложениями о внесении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31 мая 2016 г. № 7 "О Концепции формирования общего рынка газа Евразийского экономического союза"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6 декабря 2018 г. № 18 "О формировании общего рынка газа Евразийского экономического союза" соответствующих изменений.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