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2a75" w14:textId="f202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пошлины, уплачиваемой хозяйствующими субъектами при обращении в Суд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26 декабря 2024 года № 19.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10 октября 2014 г. № 85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на 2025 год размер пошлины, уплачиваемой хозяйствующими субъектами при обращении в Суд Евразийского экономического союза, в размере 57 328 российских рублей в соответствии с прогнозируемым при подготовке проекта бюджета Евразийского экономического союза на 2025 год индексом роста потребительских цен, составляющим 4,5 процента.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2025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