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ad9e" w14:textId="4d8a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перечисления сумм ввозных таможенных, специальных, антидемпинговых и компенсационных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апреля 2024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в части, касающейся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 (далее - Договор)), и обеспечения непрерывности и бесперебойности осуществления расчетов национальными (центральными) банками государств - членов Евразийского экономического союза (далее - государства-члены)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и национальным (центральным) банкам государств-членов совместно с Евразийской экономической комиссией оперативно подготовить проект Протокола о внесении изменений в Договор, предусмотрев в нем альтернативный механизм исполнения встречных обязательств по перечислению денежных средств в счет сумм ввозных таможенных, специальных, антидемпинговых и компенсационных пошлин (далее - встречные обязательства).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Договор, указанного в пункте 1 настоящего Решения, государствам-членам исходить из возможности исполнения встречных обязательств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18 мая 2022 г. № 1 "О временном порядке перечисления сумм ввозных таможенных, специальных, антидемпинговых и компенсационных пошлин".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сохранения возможности проведения с 1 июня 2024 г. расчетов в рамках исполнения встречных обязательств, национальным (центральным) банкам государств-членов обеспечить заключение новых дополнительных соглашений к договорам корреспондентского счета, предусматривающих использование механизма,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18 мая 2022 г. № 1, со сроком действия 2 года (до 31 мая 2026 года) или ранее до даты вступления в силу Протокола о внесении изменений в Договор, указанного в пункте 1 настоящего Решения, в зависимости от того, какая дата наступит ранее.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Евразийской экономической комиссии совместно с правительствами государств-членов доложить о ходе исполнения настоящего Решения на заседаниях Высшего Евразийского экономического совета на уровне глав государств во II и IV кварталах 2024 г.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даты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