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ad9e" w14:textId="4d8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перечисления сумм ввозных таможенных, специальных, антидемпинговых и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апреля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в части, касающейся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 (далее - Договор)), и обеспечения непрерывности и бесперебойности осуществления расчетов национальными (центральными) банками государств - членов Евразийского экономического союза (далее - государства-члены)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и национальным (центральным) банкам государств-членов совместно с Евразийской экономической комиссией оперативно подготовить проект Протокола о внесении изменений в Договор, предусмотрев в нем альтернативный механизм исполнения встречных обязательств по перечислению денежных средств в счет сумм ввозных таможенных, специальных, антидемпинговых и компенсационных пошлин (далее - встречные обязательства).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Договор, указанного в пункте 1 настоящего Решения, государствам-членам исходить из возможности исполнения встречных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18 мая 2022 г. № 1 "О временном порядке перечисления сумм ввозных таможенных, специальных, антидемпинговых и компенсационных пошлин".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сохранения возможности проведения с 1 июня 2024 г. расчетов в рамках исполнения встречных обязательств, национальным (центральным) банкам государств-членов обеспечить заключение новых дополнительных соглашений к договорам корреспондентского счета, предусматривающих использование механизма,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18 мая 2022 г. № 1, со сроком действия 2 года (до 31 мая 2026 года) или ранее до даты вступления в силу Протокола о внесении изменений в Договор, указанного в пункте 1 настоящего Решения, в зависимости от того, какая дата наступит ранее.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совместно с правительствами государств-членов доложить о ходе исполнения настоящего Решения на заседаниях Высшего Евразийского экономического совета на уровне глав государств во II и IV кварталах 2024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