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29d" w14:textId="37eb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защите прав потребителей в электронной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мая 2023 года № 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4.12.4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  года, утвержденных Решением Высшего Евразийского экономического совета от 11 декабря 2020 г. № 12, и пунктом 6 плана мероприятий по реализации Программы совместных действий государств – членов Евразийского экономического союза в сфере защиты прав потребителей (приложение к Программе, утвержденной распоряжением Евразийского межправительственного совета от 21 июня 2022 г. № 12),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права потребителей и их защита гарантируются законодательством государств – членов Евразийского экономического союза в сфере защиты прав потребителей, а также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Евразийского экономического союза (далее – Союз) с даты опубликования настоящей Рекомендации на официальном сайте Союза при разработке нормативных правовых актов, регулирующих вопросы защиты прав потребителей, учитывать общие подходы к защите прав потребителей в электронной торговле, размещенные на официальном сайте Союза по адресу: https://eec.eaeunion.org/upload/files/depsanmer/zpp_e-сommerce.pdf.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