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59f9" w14:textId="943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подходов государств – членов Евразийского экономического союза в сфере регулирования трудовой миграции в рамках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февраля 2023 года № 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государств – членов Евразийского экономического союза (далее – государства-члены) по согласованию политики в сфере регулирования трудовой миграции в рамках Евразийского экономического союза,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придерживаться принципа открытости и простоты административных процедур, связанных с осуществлением трудовой деятельности трудящимися государств-членов, с учетом требований законодательства государства трудоустройства;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заключению с трудящимися государств-членов трудового или гражданско-правового договора в электронном виде, если такая возможность предусмотрена законодательством государства-члена для его граждан;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трудящимся государств-членов и членам их семей статус, который дает право долгосрочного пребывания в государстве трудоустройства (с учетом сроков, предусмотренных трудовым или гражданско-правовым договором, и требований законодательства государства трудоустройства), при этом стремиться к максимальному сокращению сроков проведения и (или) количества учетно-регистрационных процедур;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трудящимся государств-членов и членам их семей доступ к государственным услугам и реализацию имущественных и неимущественных прав в соответствии с законодательством государства трудоустройства при условии предоставления ими персональных данных, необходимых для удостоверения личности.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