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63d9" w14:textId="4636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функционирования единого рынка услуг в сфере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31 января 2023 года № 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года) и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10 декабря 2021 г. № 22 "Об обеспечении функционирования единого рынка услуг в сфере строительства"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(далее – Союз) с даты опубликования настоящей Рекомендации на официальном сайте Союза в целях обеспечения условий для применения правил единого рынка услуг в рамках Союза в сфере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отношении секторов (подсекторов) услуг,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секторов (подсекторов) услуг, в которых функционирует единый рынок услуг в рамках Евразийского экономического союза, утвержденный Решением Высшего Евразийского экономического совета от 23 декабря 2014 г. № 110, руководствоваться сопоставительным перечнем разрешений, выдаваемых юридическим лицам, индивидуальным предпринимателям или физическим лицам в государствах – членах Союза для осуществления деятельности в указанной сфере, размещенным на официальном сайте Союза по адресу: https://eec.eaeunion.org/comission/department/dobd/public/comparative_list, а также представлять в Евразийскую экономическую комиссию в целях актуализации сопоставительного перечня информацию об изменении сведений, касающихся включенных в этот перечень документов, в месячный срок с даты таких изменений.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