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530" w14:textId="0ff1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перспективных направлениях сотрудничества государств – членов Евразийского экономического союза в сфере водородной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января 2023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2025 года, утвержденных Решением Евразийского межправительственного совета от 30 апреля 2021 г. № 5,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создания условий для использования промышленного потенциала Евразийского экономического союза (далее – Союз) в целях развития промышленной кооперации в сфере водородной энергетики на территориях государств – членов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Учитывать возможность использования каталога научно-исследовательских проектов, оборудования и комплектующих в государствах – членах Евразийского экономического союза в сфере водородной энергетики, размещенного на официальном сайте Союза по адресу: https://eec.eaeunion.org/comission/department/dep_prom/bazy-dannykh-reestry/.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Содействовать участию производителей в кооперационных и технологических цепочках в части создания оборудования для производства, хранения, транспортировки и применения водорода.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Проработать вопрос развития с учетом интеграционного потенциала Союза научно-технического сотрудничества и кооперации, в том числе в части: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обмена опытом в сфере производства, хранения и транспортировки водорода;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стимулирования проведения совместных научных исследований и разработки технологий организациями государств-членов по следующим перспективным направлениям сотрудничества в сфере водородной энергетики: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низкоуглеродного водорода методом электролиза воды за счет использования электрической энергии атомных электростанций, малых гидроэлектростанций и возобновляемых источников энергии;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низкоуглеродного водорода различными методами из углеводородов;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компримирование, ожижение, хранение и транспортировка водорода;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водородный транспорт и инфраструктура, необходимая для его применения;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твердооксидных электролизеров и топливных элементов, а также для применения перспективных технологий хранения водорода.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