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891b" w14:textId="7408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мониторинге проведения оценки регулирующего воздействия проектов решений Евразийской экономической комиссии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2022 году, о внедрении механизма оценки фактического воздействия актов органов Евразийского экономического союза, имеющих нормативно-правовой характер, на условия ведения предпринимательской деятельности и о формировании правовой основы для проведения в Евразийском экономическом союзе процедуры оценки регулирующего воздействия проектов международных договоров в рамках Евразийского экономического союза, которые могут оказать влияние на условия ведения предпринимательской деятельности,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продолжить работу: по совершенствованию процедуры проведения оценки регулирующего воздействия проектов решений Евразийской экономической комиссии;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внедрению механизма оценки фактического воздействия принятых решений Евразийской экономической комиссии;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правовой основы для проведения в Евразийском экономическом союзе процедуры оценки регулирующего воздействия проектов международных договоров в рамках Евразийского экономического союза, которые могут оказать влияние на условия ведения предпринимательской деятельности.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