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f6d0" w14:textId="13df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реализации цифровой повестки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 февраля 2023 г. № 5 в части абзаца второго пункта 2, принимая во внимание развитие интегрированной информационной системы Евразийского экономического союза в соответствии с принципами, изложенными в пункте 12 Целевой программы развития интегрированной информационной системы Евразийского экономического союза до 2027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октября 2022 г. № 2, приняв к сведению доклад Евразийской экономической комиссии "О ходе реализации распоряжения Евразийского межправительственного совета от 3 февраля 2023 г. № 5 "О дальнейшем развитии интегрированной информационной системы и цифровой повестки Евразийского экономического союза":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- членов Евразийского экономического союза в срок до 1 декабря 2023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разработать подходы цифровой трансформации сфер сотрудничества, предусмотренных Договором о Евразийском экономическом союзе;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подготовить план мероприятий ("дорожную карту") по инфраструктурному обеспечению на базе интегрированной информационной системы Евразийского экономического союза приоритетов проработки инициатив в рамках реализации цифровой повестки Евразийского экономического союза до 2025 года (приложение к Основным направлениям реализации цифровой повестки Евразийского экономического союза до 2025 года,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представить Евразийскому межправительственному совету новые подходы в реализации цифровой повестки в рамках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