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8028" w14:textId="89d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ноября 2023 года № 39.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г. № 39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6.4.5: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"представление стратегической программы научно-технического развития Союза "рамочного" характера для рассмотрения органами Союза":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цифры "2023" заменить цифрами "2024";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"подготовка отчета о реализации стратегической программы научно-технического развития Союза "рамочного" характера" в графе четвертой цифры "2024" заменить цифрами "2025".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"подготовка предложений по организации проведения совместных исследований в сфере научно-технологического и инновационного развития государств-членов" пункта 8.2.1 в графе четвертой цифры "2023" заменить цифрами "2024".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8.2.3: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"разработка критериев организации совместных исследований и инновационных проектов в сферах, представляющих взаимный интерес":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"2022 год – 30 сентября 2023 г." заменить словами "до 30 сентября 2024 г.";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"определение перечня сфер, представляющих взаимный интерес, для организации совместных исследований и реализации совместных проектов":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цифры "2023" заменить цифрами "2024";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"выработка предложений по организации совместных исследований и инновационных проектов в сферах, представляющих взаимный интерес" в графе четвертой цифры "2023" заменить цифрами "2024".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