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31fe" w14:textId="7153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"с 1 января 2024 г." заменить словами "с 1 июля 2024 г.".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обеспечить: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позднее 10 месяцев с даты вступления в силу настоящего Решения совместно с правительствами других государств – членов Евразийского экономического союза (далее – государства-члены)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разработку и согласование по итогам внутригосударственного согласования в государствах-членах в соответствии с пунктом 46 указанного Порядка проекта изменений в технический регламент Евразийского экономического союза "О безопасности алкогольной продукции" (ТР ЕАЭС 047/2018) в части правок технического характера, в том числе исключения редакционных ошибок, а также отдельных положений, касающихся оценки соответствия алкогольной продукции, маркировки, уточнения идентификационных показателей алкогольной продукции, для принятия в установленном порядке с целью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30 октября 2020 г. № 102;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позднее 10 месяцев с даты вступления в силу настоящего Решения совместно с правительствами других государств-членов урегулировать вопросы, связанные с требованиями к пивоваренной и винодельческой продукции и итоги (в отношении урегулированных разногласий) учесть (при необходимости) в рамках разработки и согласования проекта изменений в технический регламент Евразийского экономического союза "О безопасности алкогольной продукции" (ТР ЕАЭС 047/2018), указанного в подпункте "а" настоящего пункта.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12.04.2024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совместно с уполномоченными органами государств-членов обеспечить рассмотрение и согласование проекта изменений в технический регламент Евразийского экономического союза "О безопасности алкогольной продукции" (ТР ЕАЭС 047/2018), указанного в подпункте "а" пункта 2 настоящего Решения, в установленном порядке, исходя из целесообразности их вступления в силу с 1 июля 2024 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