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ccc8" w14:textId="234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и перечней стандартов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100.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11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соответствии с пунктом 4.1.4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и перечней стандартов к ним.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31 марта 2022 г., но не ранее чем по истечении 30 календарных дней с даты официального опубликования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100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и перечней стандартов к ним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определяет правила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(далее соответственно – технические регламенты, Союз),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(далее соответственно – научно-технический уровень, перечни стандартов), в целях мониторинга актуальности, обоснованности и перспективности установленных в них требований к безопасности продукции, выпускаемой в обращение на едином рынке Союза.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Целью обязательной периодической оценки научно-технического уровня является обеспечение соответствия технического регулирования в рамках Союза уровню экономического развития государств – членов Союза (далее – государства-члены) и уровню научно-технического развития отраслей экономики государств-членов.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Научно-технический уровень определяет степень соответствия требований к объектам технического регулирования, установленных в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требованиям к таким объектам, в том числе процедурам оценки соответствия таким требованиям, установленным в международных стандартах (правилах, директивах, рекомендациях и иных документах, принятых международными организациями по стандартизации), региональных документах (регламентах, директивах, решениях, стандартах, правилах и иных документах), в том числе в национальных документах и стандартах третьих стран (далее – международные документы), с учетом перспективных направлений развития таких требований (планов мероприятий по их установлению);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уровню экономического развития государств-членов и уровню научно-технического развития соответствующих отраслей экономики государств-членов;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требованиям ясности, недвусмысленности и согласованности правовых норм, обеспечивающих их единообразное понимание и применение.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Критериями обязательной периодической оценки научно-технического уровня являются: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полнота требований, установленных в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нему, по сравнению с международными документами (достаточность, недостаточность или избыточность установленных требований);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сравнительный уровень количественных показателей, установленных в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нему, по сравнению с количественными показателями, установленными в международных документах;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степень актуальности стандартов, включенных в перечни стандартов, и их соответствие международным (региональным) стандартам;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степень соответствия требований, установленных в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нему, уровню научно-технического развития (перспективам развития) соответствующих отраслей экономики государств-членов;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степень обеспеченности требований, установленных 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нему, методами исследований (испытаний) и измерений и испытательной базой, необходимой для оценки соответствия продукции требованиям технического регламента, в каждом государстве-члене;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степень неопределенности и (или) неоднозначности требований, установленных в техническом регламенте или содержащихся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Договору)) в стандартах, включенных в перечни стандартов к нему, а также понятийного аппарата и определений понятий, применяемых в техническом регламенте;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возможность обеспечения установления соответствия продукции требованиям технического регламента с использованием методов исследований (испытаний) и измерений;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достаточность (избыточность) и обоснованность схем и форм оценки соответствия, предусмотренных техническим регламентом.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Организация проведения оценки научно-технического уровня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научно-технического уровня проводится не реже 1 раза в 5 лет.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научно-технического уровня включает в себя следующие этапы (процедуры):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и принятие распоряжения Совета Евразийской экономической комиссии (далее – Комиссия) о плане мероприятий о оценке научно-технического уровня (далее – план оценки), о внесении в него изменений;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проведение оценки научно-технического уровня;</w:t>
      </w:r>
    </w:p>
    <w:bookmarkEnd w:id="15"/>
    <w:p>
      <w:pPr>
        <w:spacing w:after="0"/>
        <w:ind w:left="0"/>
        <w:jc w:val="both"/>
      </w:pPr>
      <w:bookmarkStart w:name="z32" w:id="16"/>
      <w:r>
        <w:rPr>
          <w:rFonts w:ascii="Times New Roman"/>
          <w:b w:val="false"/>
          <w:i w:val="false"/>
          <w:color w:val="000000"/>
          <w:sz w:val="28"/>
        </w:rPr>
        <w:t>
      в) подготовка на основании результатов оценки научно-технического уровня предложений по внесению изменений в технический регламент (при необходимости), внесению изменений в перечни стандартов (при необходимости), внесению изменений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этого технического регламента (далее – программа) (при необходимости), и представление их в Комиссию.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План оценки принимается на 5 лет в целях обеспечения координации работ по оценке научно-технического уровня и системного подхода к обеспечению соответствия технического регулирования в рамках Союза уровню экономического развития государств-членов и уровню научно-технического развития соответствующих отраслей экономики государств-членов.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оценки формируется по согласованию с государствами-членами на основании предложений, представленных в Комиссию уполномоченными органами государственной власти государств-членов в сфере технического регулирования, и предложений Комиссии.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Очередность проведения мероприятий по оценке научно-технического уровня при формировании плана оценки устанавливается с учетом следующих приоритетов: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технические регламенты, с даты принятия которых прошло более 10 лет;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технические регламенты, с даты внесения последних изменений в которые прошло более 5 лет;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технические регламенты, с даты принятия которых прошло более 5 лет и внесение изменений в которые не предусмотрено планом разработки технических регламентов и внесения в них изменений, утверждаемым Комиссией (далее – план разработки);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предложения государств-членов, в том числе при наличии большого количества обращений по разъяснению применения технических регламентов с учетом правоприменительной практики.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Срок проведения оценки научно-технического уровня устанавливается в плане оценки в соответствии с предложениями государств-членов и не должен превышать 1 год.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окончания работ по оценке научно-технического уровня является дата направления в Комиссию результатов этой оценки.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Изменения в план оценки вносятся на основании предложений, представленных в Комиссию уполномоченными органами государственной власти государств-членов в сфере технического регулирования, и предложений Комиссии.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плане оценки указываются следующие сведения: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технического регламента;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государство-член, ответственное за проведение оценки научно-технического уровня;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сроки начала и окончания работ по оценке научно-технического уровня.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 предложению Консультативного комитета по техническому регулированию, применению санитарных, ветеринарных и фитосанитарных мер (далее – Консультативный комитет) оценка научно-технического уровня отдельных технических регламентов, не включенных в план оценки, может быть проведена в рамках научно-исследовательских работ, предусмотренных планом научно-исследовательских работ Комиссии.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требования к техническим характеристикам научно-исследовательской работы (техническое задание) формируются Комиссией на основе работ, предусмотренных разделами III – V настоящего Порядка.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научно-исследовательской работы и итоговый отчет рассматриваются на заседании Консультативного комитета.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течение 30 календарных дней с даты вступления в силу распоряжения Совета Комиссии о плане оценки или о внесении в него изменений: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государство-член, ответственное за проведение оценки научно-технического уровня, представляет в Комиссию информацию об органе государственной власти, ответственном за проведение работ по оценке научно-технического уровня (далее – ответственный исполнитель);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остальные государства-члены представляют в Комиссию информацию об органах государственной власти, участвующих в проведении работ по оценке научно-технического уровня (далее – соисполнители).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Комиссия размещает на официальном сайте Союза информацию, представленную государствами-членами в соответствии с пунктом 13 настоящего Порядка, в течение 3 рабочих дней с даты ее получения.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Организация и финансирование работ, предусмотренных разделами III и IV настоящего Порядка, осуществляются государствами-членами в соответствии с их законодательством.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организации работ по оценке научно-технического уровня и рассмотрении их результатов ответственный исполнитель и соисполнители могут привлекать организации, осуществляющие деятельность в соответствующей отрасли экономики и имеющие необходимую компетенцию в соответствии с законодательством государств-членов, а также представителей профильных научных организаций, отраслей промышленности, бизнес-сообществ и иных экспертов государств-членов.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организаций к проведению работ по оценке научно-технического уровня и рассмотрению их результатов определяется в соответствии с законодательством государств-членов.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Оценка научно-технического уровня предусматривает проведение следующих работ: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соответствия требований технического регламента требованиям, установленным в международных документах;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практики применения технического регламента в государствах-членах в целях установления соответствия требований технического регламента уровню экономического развития государств-членов и уровню научно-технического развития соответствующих отраслей экономики государств-членов, а также требованиям ясности, недвусмысленности и согласованности правовых норм, обеспечивающих их единообразное понимание и применение;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воздействия технического регламента и перечней стандартов к нему на условия ведения предпринимательской деятельности.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предусмотренные абзацами вторым и третьим настоящего пункта, выполняются одновременно.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предусмотренных настоящим пунктом работ не должен превышать 180 календарных дней с даты размещения на официальном сайте Союза информации в соответствии с пунктом 14 настоящего Порядка.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Работы по оценке научно-технического уровня завершаются формированием итогового отчета и рассмотрением результатов этой оценки на заседании Консультативного комитета.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Государства-члены принимают необходимые меры по обеспечению соблюдения сроков, установленных планом оценки и настоящим Порядком.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Комиссия осуществляет мониторинг выполнения плана оценки на основе отчетных материалов с результатами оценки научно-технического уровня, направляемых в Комиссию ответственным исполнителем.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выполнения плана оценки ежегодно рассматриваются на заседании Консультативного комитета.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Анализ соответствия требований технического регламента требованиям, установленным в международных документах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целях анализа соответствия требований технического регламента требованиям, установленным в международных документах, ответственный исполнитель осуществляет следующие работы: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перечней объектов (групп объектов) технического регулирования и перечней требований, в том числе процедур оценки соответствия таким требованиям, установленных к каждому объекту (группе объектов) в техническом регламенте, в том числе установление номенклатуры оцениваемых характеристик и их значений для каждого объекта (группы объектов) технического регулирования с учетом анализа актуальных на дату проведения оценки перечней стандартов к техническому регламенту;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анализ законодательства третьих стран и интеграционных объединений, определяющих формирование и развитие мирового рынка продукции, являющейся объектом технического регулирования технического регламента, а также международных документов в целях определения обязательных требований к продукции, являющейся аналогом объектов (групп объектов) технического регулирования технического регламента, в том числе процедур оценки соответствия таким требованиям, определения номенклатуры характеристик и их значений для каждой группы продукции, выявления перспектив и направлений развития таких требований, а также объектов (групп объектов) технического регулирования, которые не включены в область применения технического регламента. Перечень третьих стран и интеграционных объединений, определяющих формирование и развитие мирового рынка продукции, являющейся объектом технического регулирования технического регламента, а также международных документов формируется ответственным исполнителем по согласованию с соисполнителями;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сравнительный анализ обязательных требований к продукции (в том числе процедур оценки соответствия таким требованиям), установленных в техническом регламенте, или характеристик, установленных в стандартах, включенных в перечни стандартов, и обязательных требований к такой продукции, в том числе процедур оценки соответствия таким требованиям, определенных в соответствии с подпунктом "б" настоящего пункта;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подготовка рекомендаций по изменению обязательных требований к отдельным видам продукции, установленных в техническом регламенте, в том числе процедур оценки соответствия, с учетом итогов сравнительного анализа, предусмотренного подпунктом "в" настоящего пункта (при необходимости);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анализ базы межгосударственных и национальных стандартов, не включенных в перечни стандартов, и подготовка рекомендаций по актуализации перечней стандартов, обеспечивающих реализацию технического регламента, в том числе с учетом рекомендаций, указанных в подпункте "г" настоящего пункта (при необходимости). К проведению указанных работ могут быть привлечены соответствующие межгосударственные и национальные технические комитеты по стандартизации;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подготовка рекомендаций по разработке межгосударственных стандартов, обеспечивающих реализацию технического регламента, или по внесению изменений (пересмотру) в межгосударственные стандарты, включенные в перечни стандартов, в том числе с учетом рекомендаций, указанных в подпункте "г" настоящего пункта (при необходимости).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Анализ практики применения технического регламента в государствах-членах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Анализ практики применения технического регламента в государствах-членах и формирование соответствующих выводов и рекомендаций осуществляются ответственным исполнителем и соисполнителями на основе результатов мониторинга применения технического регламента за последние 3 года, проводимого в соответствии с порядком разработки, принятия, изменения и отмены технических регламентов, утверждаемым Комиссией, и результатов анкетирования субъектов предпринимательской деятельности, потребителей, органов по оценке соответствия (далее – анкетирование).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Информация о результатах мониторинга применения технического регламента формируется ответственным исполнителем и соисполнителями с учетом анализа следующих факторов: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предпосылки для возникновения барьеров и ограничений в связи с применением требований технического регламента;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полнота правового регулирования положений технического регламента и коллизии его норм;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наличие в техническом регламенте отсылочных норм на законодательство государств-членов и их реализация;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наличие в тексте технического регламента ошибок юридико-технического характера;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искажение смысла норм технического регламента;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неправомерные или необоснованные решения, действия (бездействие) при применении технического регламента;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наличие единообразной практики применения технического регламента;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количество и содержание заявлений по вопросам разъяснения положений технического регламента;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количество и характер зафиксированных нарушений требований технического регламента;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количество органов по сертификации и испытательных лабораторий в государствах-членах;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обеспеченность технического регламента стандартами и методиками, необходимыми для его реализации, своевременность актуализации перечней стандартов.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Соисполнители в течение 60 рабочих дней с даты размещения на официальном сайте Союза информации в соответствии с пунктом 14 настоящего Порядка направляют ответственному исполнителю информацию о результатах мониторинга применения технического регламента и (при наличии) предложения о внесении в технический регламент, перечни стандартов, программу изменений, обеспечивающих устранение выявленных проблем применения технического регламента.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Анкетирование осуществляется по следующим вопросам применения обязательных требований технического регламента, в том числе вызывающих затруднения при их реализации: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достаточность (избыточность), ясность (точность) понятий, используемых в техническом регламенте, для однозначного понимания его требований и положений;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корректность определения области применения технического регламента;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достаточность (избыточность) и обоснованность требований к продукции, в том числе в части обеспечения энергетической эффективности и ресурсосбережения;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обеспеченность показателей, установленных в техническом регламенте, методами исследований (испытаний) и измерений;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достаточность (избыточность) требований к маркировке продукции, в том числе в части предупреждения действий, вводящих в заблуждение потребителей;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достаточность (избыточность) схем и форм оценки соответствия, предусмотренных техническим регламентом;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обеспеченность необходимой испытательной базой;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затруднения с поставками продукции, в том числе в третьи страны, обусловленные отличающимися обязательными требованиями к данной продукции в третьих странах;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содержащиеся в техническом регламенте отсылочные нормы  на законодательство государств-членов, создающие препятствия для свободного движения товаров в рамках функционирования внутреннего рынка Союза и их доступа на рынки государств-членов;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иные вопросы, включенные в анкету ответственным исполнителем в зависимости от специфики технического регламента.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целях обеспечения проведения анкетирования в государствах-членах ответственный исполнитель в течение 10 рабочих дней с даты размещения на официальном сайте Союза информации в соответствии с пунктом 14 настоящего Порядка подготавливает анкету, содержащую указанные в пункте 25 настоящего Порядка вопросы (далее – анкета), направляет ее соисполнителям и размещает на своем сайте в информационно-телекоммуникационной сети "Интернет" с указанием информации о сроке проведения анкетирования, в течение которого принимаются анкеты, а также о способе (с использованием соответствующего сервиса, на бумажных носителях по указанному в анкете адресу и (или) в электронном виде по указанному в анкете адресу электронной почты) и адресе представления заполненной анкеты.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Соисполнители в течение 5 рабочих дней с даты получения анкеты размещают ее на своих сайтах в информационно-телекоммуникационной сети "Интернет" с указанием информации, предусмотренной пунктом 26 настоящего Порядка.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Ответственный исполнитель и соисполнители информируют об адресе размещения анкеты, сроке проведения анкетирования, а также о способе и адресе представления заполненной анкеты, каждый в своем государстве-члене: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координаторов от бизнес-сообщества, определенных Деловым советом Евразийского экономического союза;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бизнес-сообщества, союзов потребителей, органов по оценке соответствия, научных и общественных организаций, иных независимых экспертов.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анкетирования составляет не менее 40 рабочих дней с даты информирования указанных лиц о проведении анкетирования.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Информация о проведении анкетирования (с приложением анкеты и указанием информации, предусмотренной пунктом 26 настоящего Порядка) направляется ответственным исполнителем в Комиссию.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5 рабочих дней с даты поступления указанной информации размещает ее на официальном сайте Союза.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планируемой даты завершения анкетирования Комиссия направляет ответственному исполнителю информацию о практике применения технического регламента в государствах-членах, в том числе о поступивших в Комиссию за последние 3 года запросах юридических и физических лиц, органов государственной власти государств-членов о разъяснении положений технического регламента (при наличии) с приложением поступивших в Комиссию заполненных анкет, а также сводки отзывов по проекту технического регламента (проекту изменений в технический регламент) (при наличии) и результаты оценки регулирующего воздействия, проведенной Комиссией в отношении проекта технического регламента (проекта изменений в технический регламент) (при наличии).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Ответственный исполнитель и соисполнители, каждый в своем государстве-члене, формируют сводную информацию о результатах анкетирования и предложениях, поступивших в ходе анкетирования, по форме согласно приложению № 1 (далее – сводная информация).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Соисполнители в течение 30 рабочих дней с даты завершения анкетирования направляют ответственному исполнителю сводную информацию с приложением поступивших анкет. </w:t>
      </w:r>
    </w:p>
    <w:bookmarkEnd w:id="93"/>
    <w:p>
      <w:pPr>
        <w:spacing w:after="0"/>
        <w:ind w:left="0"/>
        <w:jc w:val="both"/>
      </w:pPr>
      <w:bookmarkStart w:name="z112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32. На основе анализа информации о результатах мониторинга применения технического регламента, предусмотренной пунктом 23 настоящего Порядка, и сводной информации ответственный исполнитель формирует выводы по вопросам применения обязательных требований технического регламента, вызывающих затруднения при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реализации.</w:t>
      </w:r>
    </w:p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Оценка фактического воздействия технического регламента на условия ведения предпринимательской деятельности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В целях подготовки заключения об оценке фактического воздействия технического регламента на условия ведения предпринимательской деятельности (далее – заключение об оценке фактического воздействия) ответственный исполнитель в течение 10 рабочих дней с даты получения от последнего соисполнителя сводной информации в соответствии с пунктом 31 настоящего Порядка направляет в Комиссию анкеты, предусмотренные указанным пунктом, и сводную информацию.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Подготовка заключения об оценке фактического воздействия осуществляется Комиссией.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заключения об оценке фактического воздействия департамент Комиссии, к сфере деятельности которого отнесены вопросы технического регулирования, в течение 10 рабочих дней с даты поступления материалов, указанных в пункте 33 настоящего Порядка, направляет их в департамент Комиссии, к сфере деятельности которого отнесены вопросы, касающиеся условий ведения предпринимательской деятельности.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Комиссии, к сфере деятельности которого отнесены вопросы, касающиеся условий ведения предпринимательской деятельности, при участии ответственного исполнителя и департамента Комиссии, к сфере деятельности которого отнесены вопросы технического регулирования, в течение 15 рабочих дней с даты поступления материалов, указанных в пункте 33 настоящего Порядка, осуществляет подготовку заключения об оценке фактического воздействия.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фактического воздействия подписывается руководителем рабочей группы по проведению оценки регулирующего воздействия проектов решений Комиссии, а в его отсутствие – заместителем руководителя.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Департамент Комиссии, к сфере деятельности которого отнесены вопросы, касающиеся условий ведения предпринимательской деятельности, в течение 3 рабочих дней с даты подписания заключения об оценке фактического воздействия направляет копию этого заключения в департамент Комиссии, к сфере деятельности которого отнесены вопросы технического регулирования.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Комиссия не позднее 7 рабочих дней с даты подписания заключения об оценке фактического воздействия размещает его на официальном сайте Союза и направляет его копию ответственному исполнителю и соисполнителям для учета при подготовке итогового отчета о результатах оценки научно-технического уровня (далее – итоговый отчет).</w:t>
      </w:r>
    </w:p>
    <w:bookmarkEnd w:id="102"/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Формирование итогового отчета и рассмотрение результатов оценки научно-технического уровня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По итогам работ, предусмотренных разделами III – V настоящего Порядка, ответственный исполнитель составляет итоговый отчет в соответствии со структурой согласно приложению № 2.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 Итоговые рекомендации для включения в итоговый отчет формируются с учетом рекомендаций, предусмотренных подпунктами "г" и "е" пункта 21 настоящего Порядка, выводов по вопросам применения обязательных требований технического регламента, вызывающих затруднения при их реализации, предусмотренных пунктом 32 настоящего Порядка, и заключения об оценке фактического воздействия.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Ответственный исполнитель направляет итоговый отчет в Комиссию в электронном виде и на бумажном носителе для организации его рассмотрения в государствах-членах.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Комиссия в течение 30 рабочих дней с даты поступления итогового отчета рассматривает его и при отсутствии выявленных несоответствий в его содержании и структуре направляет итоговый отчет соисполнителям для рассмотрения и согласования.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поступившего итогового отчета Комиссией выявлено его несоответствие структуре, предусмотренной приложением № 2 к настоящему Порядку, Комиссия подготавливает заключение и направляет его ответственному исполнителю с целью доработки и последующего представления в Комиссию в течение 30 рабочих дней с даты получения заключения.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Соисполнители в течение 30 рабочих дней с даты получения итогового отчета осуществляют его рассмотрение и направление в Комиссию позиции о возможности рассмотрения итогового отчета на заседании Консультативного комитета, а при наличии замечаний представляют их в Комиссию.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Комиссия совместно с ответственным исполнителем организует проведение согласительного совещания с участием соисполнителей для рассмотрения представленных замечаний по итоговому отчету, по результатам которого ответственный исполнитель дорабатывает итоговый отчет и представляет его в Комиссию не позднее 30 рабочих дней с даты проведения совещания для рассмотрения на заседании Консультативного комитета.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Итоговый отчет рассматривается на очередном заседании Консультативного комитета.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его опубликования на официальном сайте Союза, которое оформляется протоколом.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ответственным исполнителем в течение срока, установленного Консультативным комитетом, осуществляются доработка итогового отчета и его направление в Комиссию.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размещает итоговый отчет на официальном сайте Союза.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Ответственный исполнитель в течение 60 рабочих дней с даты опубликования итогового отчета на официальном сайте Союза при наличии в нем соответствующих рекомендаций осуществляет подготовку и направление в Комиссию: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предложения государства-члена о внесении в план разработки изменений, предусматривающих разработку проекта изменений в технический регламент, в соответствии с порядком разработки, принятия, изменения и отмены технических регламентов;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предложения государства-члена о внесении изменений в перечни стандартов, обеспечивающих реализацию технического регламента, в соответствии с порядком разработки и принятия перечней международных и региональных (межгосударственных) стандартов, а в случае их отсутствия 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‒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Комиссией;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предложения государства-члена о внесении изменений в программу с учетом порядка координации работ в области стандартизации в рамках Союза, определяемого Комиссией.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Результаты оценки научно-технического уровня могут быть использованы в рамках проводимых работ по внесению изменений в технический регламент, предусмотренных планом разработки.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вступивших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перечней стандартов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результатах анкетирования и предложениях, поступивших в ходе анкетирования в рамках оценки научно-технического уровня технического регламента Евразийского экономического союза и перечней стандартов к нему</w:t>
      </w:r>
    </w:p>
    <w:bookmarkEnd w:id="121"/>
    <w:p>
      <w:pPr>
        <w:spacing w:after="0"/>
        <w:ind w:left="0"/>
        <w:jc w:val="both"/>
      </w:pPr>
      <w:bookmarkStart w:name="z142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технического регламента Евразийского экономического союза)</w:t>
      </w:r>
    </w:p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Информация по вопросам, содержащимся в анкете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вопроса и его формулировка согласно анкете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ответа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заполнившем анкету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по итогам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Информация по иным предложениям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предложения, не предусмотренные анкетой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заполнившем анкету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по итогам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уполномоченного</w:t>
            </w:r>
          </w:p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ответственного</w:t>
            </w:r>
          </w:p>
          <w:bookmarkEnd w:id="126"/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(соисполнителя))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"____" ____________ 20__ г.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вступивших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перечней стандартов к ним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</w:p>
    <w:bookmarkEnd w:id="129"/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итогового отчета о результатах оценки научно-технического уровня технического регламента Евразийского экономического союза и перечней стандартов к нему</w:t>
      </w:r>
    </w:p>
    <w:bookmarkEnd w:id="130"/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Содержание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включает в себя введение, номера и наименования всех разделов и подразделов, заключение, список использованных источников и наименования приложений (при их наличии) с указанием номеров страниц, с которых начинаются эти структурные элементы.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наименования подразделов приводятся с абзацного отступа, в 2 раза большего относительно строки с указанием разделов. Номера пунктов приводятся с абзацного отступа, в 4 раза большего относительно строки с указанием разделов.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продолжение наименования раздела, подраздела, приложения на второй (последующей) строке выравнивается по первой строке этого наименования.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итоговый отчет состоит из 2 и более книг, в каждой из них приводится свое содержание. При этом в первой книге приводится содержание всего итогового отчета с указанием номеров книг, в последующих – только содержание соответствующей книги. Допускается в первой книге вместо содержания последующих книг указывать их наименования.</w:t>
      </w:r>
    </w:p>
    <w:bookmarkEnd w:id="135"/>
    <w:bookmarkStart w:name="z1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Перечень сокращений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сокращений начинается со слов: "В настоящем итоговом отчете применяются следующие сокращения:".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итоговом отчете используется более 3 условных обозначений, требующих пояснения (включая специальные сокращения слов и словосочетаний, обозначения единиц физических величин и другие специальные символы), составляется их перечень, в котором для каждого обозначения приводятся необходимые сведения.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определения и сокращения приводить в одном структурном элементе "Определения и сокращения".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итоговом отчете используется менее 3 условных обозначений, отдельный перечень не составляется, а необходимые сведения указываются в тексте итогового отчета или в сносках при первом упоминании.</w:t>
      </w:r>
    </w:p>
    <w:bookmarkEnd w:id="140"/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Введение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содержит оценку современного состояния решаемой научно-технической проблемы, основание и исходные данные для выполнения работ, обоснование необходимости проведения работ. Во введении отражаются актуальность и новизна работы, связь данной работы с другими работами (при наличии).</w:t>
      </w:r>
    </w:p>
    <w:bookmarkEnd w:id="142"/>
    <w:bookmarkStart w:name="z1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Основная часть итогового отчета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итогового отчета содержит описание проведенных работ, предусмотренных разделами III – V Порядка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и перечней стандартов к ним, утвержденного Решением Совета Евразийской экономической комиссии от 27 сентября 2023 г. № 100, а также полученные результаты и выводы по следующим пунктам итогового отчета: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объектов (групп объектов) технического регулирования и требований, установленных к каждому объекту (группе объектов) в техническом регламенте Евразийского экономического союза (далее – технический регламент), и результаты анализа обеспеченности указанных требований стандартами, включенными в перечни стандартов к этому техническому регламенту, а также процедуры оценки соответствия, предусмотренные техническим регламентом;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оцениваемых характеристик и их значений для каждого объекта (группы объектов) технического регулирования с учетом анализа актуальных на дату проведения оценки перечней стандартов к техническому регламенту;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третьих стран и интеграционных объединений, определяющих формирование и развитие мирового рынка продукции, являющейся объектом технического регулирования технического регламента, а также международных документов в целях определения обязательных требований к продукции, являющейся аналогом объектов (групп объектов) технического регулирования технического регламента, в том числе процедур оценки соответствия таким требованиям, определения номенклатуры характеристик и их значений для каждой группы продукции, выявления перспектив и направлений развития таких требований, а также объектов (групп объектов) технического регулирования, которые не включены в область применения технического регламента;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обязательных требований к продукции, в том числе процедур оценки соответствия таким требованиям, установленных в техническом регламенте, или характеристик, установленных в стандартах, включенных в перечни стандартов к техническому регламенту, и обязательных требований к такой продукции, в том числе процедур оценки соответствия таким требованиям, установленных в законодательстве третьих стран и интеграционных объединений, определяющих формирование и развитие мирового рынка продукции, являющейся объектом технического регулирования технического регламента, а также в международных документах с учетом перспективных направлений их развития. Приводятся рекомендации по изменению обязательных требований к отдельным видам продукции, установленных в техническом регламенте, в том числе процедур оценки соответствия (при необходимости);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существующей базы межгосударственных и национальных стандартов, не включенных в перечни стандартов к техническому регламенту, в целях определения рекомендаций по изменению обязательных требований к отдельным видам продукции, установленных в техническом регламенте. Приводятся рекомендации по актуализации перечней стандартов к техническому регламенту, а также по разработке межгосударственных стандартов, обеспечивающих реализацию технического регламента, или по внесению изменений (пересмотру) в межгосударственные стандарты, включенные в перечни стандартов к техническому регламенту, в том числе с учетом рекомендаций по изменению обязательных требований к отдельным видам продукции, установленных в техническом регламенте (при необходимости);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о мониторинге применения технического регламента в государствах – членах Евразийского экономического союза и поступивших предложений о внесении в технический регламент, перечни стандартов к нему, программу по разработке межгосударственных стандартов изменений, обеспечивающих устранение выявленных вопросов, касающихся применения технического регламента;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сводной информации по результатам анкетирования субъектов предпринимательской деятельности, потребителей, органов по оценке соответствия;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заключения об оценке фактического воздействия технического регламента и перечней стандартов к нему на условия ведения предпринимательской деятельности;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рекомендации по изменению обязательных требований к отдельным видам продукции, в том числе процедур оценки соответствия таким требованиям, установленных в техническом регламенте (при необходимости);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рекомендации по актуализации перечней стандартов, обеспечивающих реализацию технического регламента, в том числе с учетом предлагаемых изменений в технический регламент (при необходимости);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рекомендации по разработке межгосударственных стандартов, обеспечивающих реализацию технического регламента, или по внесению изменений (пересмотру) в межгосударственные стандарты, включенные в перечни стандартов к техническому регламенту, в том числе с учетом предлагаемых изменений в технический регламент (при необходимости).</w:t>
      </w:r>
    </w:p>
    <w:bookmarkEnd w:id="155"/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Заключение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краткие выводы о результатах выполненной работы, в том числе о достаточности (недостаточности) или избыточности требований технического регламента.</w:t>
      </w:r>
    </w:p>
    <w:bookmarkEnd w:id="157"/>
    <w:bookmarkStart w:name="z17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Список использованных источников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содержит сведения об источниках, использованных при составлении итогового отчета. Список использованных источников включает в себя библиографические ссылки на документы, использованные при составлении отчета, которые оформляются арабскими цифрами в квадратных скобках. </w:t>
      </w:r>
    </w:p>
    <w:bookmarkEnd w:id="159"/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Приложения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включаются следующие материалы, дополняющие текст итогового отчета, связанные с выполненной работой, если они не могут быть включены в основную часть отчета: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к отчету (анкеты, сводная информация по результатам анкетирования, заключение об оценке фактического воздействия и т. п.);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таблицы, содержащие вспомогательные данные (в цифрах);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вспомогательного характера.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