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2b907b" w14:textId="f2b907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технический регламент Таможенного союза "О безопасности мяса и мясной продукции" (ТР ТС 034/2013)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Совета Евразийской экономической комиссии от 27 сентября 2023 года № 98.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52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Договора о Евразийском экономическом союзе от 29 мая 2014 года и </w:t>
      </w:r>
      <w:r>
        <w:rPr>
          <w:rFonts w:ascii="Times New Roman"/>
          <w:b w:val="false"/>
          <w:i w:val="false"/>
          <w:color w:val="000000"/>
          <w:sz w:val="28"/>
        </w:rPr>
        <w:t>пунктом 29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№ 1 к Регламенту работы Евразийской экономической комиссии, утвержденному Решением Высшего Евразийского экономического совета от 23 декабря 2014 г. № 98, Совет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/>
          <w:i w:val="false"/>
          <w:color w:val="000000"/>
          <w:sz w:val="28"/>
        </w:rPr>
        <w:t>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 Внести в технический регламент Таможенного союза "О безопасности мяса и мясной продукции" (ТР ТС 034/2013), принятый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Совета Евразийской экономической комиссии от 9 октября 2013 г. № 68, изменения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 Настоящее Решение вступает в силу по истечении 180 календарных дней с даты его официального опубликования.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Члены Совета Евразийской экономической комиссии: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  <w:tblLayout w:type="fixed"/>
            </w:tblPr>
            <w:tblGrid>
              <w:gridCol w:w="12000"/>
            </w:tblGrid>
            <w:tr>
              <w:trPr>
                <w:trHeight w:val="30" w:hRule="atLeast"/>
              </w:trPr>
              <w:tc>
                <w:tcPr>
                  <w:tcW w:w="120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От Республики Армения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  <w:tblLayout w:type="fixed"/>
            </w:tblPr>
            <w:tblGrid>
              <w:gridCol w:w="12000"/>
            </w:tblGrid>
            <w:tr>
              <w:trPr>
                <w:trHeight w:val="30" w:hRule="atLeast"/>
              </w:trPr>
              <w:tc>
                <w:tcPr>
                  <w:tcW w:w="120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От Республики Беларусь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  <w:tblLayout w:type="fixed"/>
            </w:tblPr>
            <w:tblGrid>
              <w:gridCol w:w="12000"/>
            </w:tblGrid>
            <w:tr>
              <w:trPr>
                <w:trHeight w:val="30" w:hRule="atLeast"/>
              </w:trPr>
              <w:tc>
                <w:tcPr>
                  <w:tcW w:w="120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От Республики Казахстан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  <w:tblLayout w:type="fixed"/>
            </w:tblPr>
            <w:tblGrid>
              <w:gridCol w:w="12000"/>
            </w:tblGrid>
            <w:tr>
              <w:trPr>
                <w:trHeight w:val="30" w:hRule="atLeast"/>
              </w:trPr>
              <w:tc>
                <w:tcPr>
                  <w:tcW w:w="120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От Кыргызской Республики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  <w:tblLayout w:type="fixed"/>
            </w:tblPr>
            <w:tblGrid>
              <w:gridCol w:w="12000"/>
            </w:tblGrid>
            <w:tr>
              <w:trPr>
                <w:trHeight w:val="30" w:hRule="atLeast"/>
              </w:trPr>
              <w:tc>
                <w:tcPr>
                  <w:tcW w:w="120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От Российской Федерации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  <w:tblLayout w:type="fixed"/>
            </w:tblPr>
            <w:tblGrid>
              <w:gridCol w:w="12000"/>
            </w:tblGrid>
            <w:tr>
              <w:trPr>
                <w:trHeight w:val="30" w:hRule="atLeast"/>
              </w:trPr>
              <w:tc>
                <w:tcPr>
                  <w:tcW w:w="120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М. Григорян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  <w:tblLayout w:type="fixed"/>
            </w:tblPr>
            <w:tblGrid>
              <w:gridCol w:w="12000"/>
            </w:tblGrid>
            <w:tr>
              <w:trPr>
                <w:trHeight w:val="30" w:hRule="atLeast"/>
              </w:trPr>
              <w:tc>
                <w:tcPr>
                  <w:tcW w:w="120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И. Петришенко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  <w:tblLayout w:type="fixed"/>
            </w:tblPr>
            <w:tblGrid>
              <w:gridCol w:w="12000"/>
            </w:tblGrid>
            <w:tr>
              <w:trPr>
                <w:trHeight w:val="30" w:hRule="atLeast"/>
              </w:trPr>
              <w:tc>
                <w:tcPr>
                  <w:tcW w:w="120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С. Жумангарин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  <w:tblLayout w:type="fixed"/>
            </w:tblPr>
            <w:tblGrid>
              <w:gridCol w:w="12000"/>
            </w:tblGrid>
            <w:tr>
              <w:trPr>
                <w:trHeight w:val="30" w:hRule="atLeast"/>
              </w:trPr>
              <w:tc>
                <w:tcPr>
                  <w:tcW w:w="120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А. Касымалиев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  <w:tblLayout w:type="fixed"/>
            </w:tblPr>
            <w:tblGrid>
              <w:gridCol w:w="12000"/>
            </w:tblGrid>
            <w:tr>
              <w:trPr>
                <w:trHeight w:val="30" w:hRule="atLeast"/>
              </w:trPr>
              <w:tc>
                <w:tcPr>
                  <w:tcW w:w="120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А. Оверчук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Совета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Евразийской экономической 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сентября 2023 г. № 98</w:t>
            </w:r>
          </w:p>
        </w:tc>
      </w:tr>
    </w:tbl>
    <w:bookmarkStart w:name="z9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ИЗМЕНЕНИЯ,</w:t>
      </w:r>
    </w:p>
    <w:bookmarkEnd w:id="0"/>
    <w:p>
      <w:pPr>
        <w:spacing w:after="0"/>
        <w:ind w:left="0"/>
        <w:jc w:val="left"/>
      </w:pP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вносимые в технический регламент Таможенного союза "О безопасности мяса и мясной продукции" (ТР ТС 034/2013)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</w:t>
      </w:r>
      <w:r>
        <w:rPr>
          <w:rFonts w:ascii="Times New Roman"/>
          <w:b w:val="false"/>
          <w:i w:val="false"/>
          <w:color w:val="000000"/>
          <w:sz w:val="28"/>
        </w:rPr>
        <w:t>Пункт 17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абзацем следующего содержания: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"Фактические показатели белка и жира мясной продукции для детского питания не должны выходить за пределы допустимых уровней, установленных в </w:t>
      </w:r>
      <w:r>
        <w:rPr>
          <w:rFonts w:ascii="Times New Roman"/>
          <w:b w:val="false"/>
          <w:i w:val="false"/>
          <w:color w:val="000000"/>
          <w:sz w:val="28"/>
        </w:rPr>
        <w:t>приложении №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техническому регламенту.".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</w:t>
      </w:r>
      <w:r>
        <w:rPr>
          <w:rFonts w:ascii="Times New Roman"/>
          <w:b w:val="false"/>
          <w:i w:val="false"/>
          <w:color w:val="000000"/>
          <w:sz w:val="28"/>
        </w:rPr>
        <w:t>Раздел XI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пунктом 107</w:t>
      </w:r>
      <w:r>
        <w:rPr>
          <w:rFonts w:ascii="Times New Roman"/>
          <w:b w:val="false"/>
          <w:i w:val="false"/>
          <w:color w:val="000000"/>
          <w:vertAlign w:val="super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следующего содержания: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"107</w:t>
      </w:r>
      <w:r>
        <w:rPr>
          <w:rFonts w:ascii="Times New Roman"/>
          <w:b w:val="false"/>
          <w:i w:val="false"/>
          <w:color w:val="000000"/>
          <w:vertAlign w:val="super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. Показатели пищевой ценности продуктов убоя и мясной продукции в маркировке указываются с учетом допустимых отклонений.</w:t>
      </w:r>
    </w:p>
    <w:bookmarkStart w:name="z1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Допустимые пределы фактических значений содержания пищевых веществ при указании информации о пищевой ценности продуктов убоя и мясной продукции составляют: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белок – не менее 80 процентов от значения, указанного в маркировке продукции;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жир, углеводы, энергетическая ценность (калорийность) – не более 120 процентов от значения, указанного в маркировке продукции.".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