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7778" w14:textId="34c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12 февраля 2016 г.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2023 года № 50.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пунктами 2 и 4 статьи 4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46 "О Правилах регистрации и экспертизы безопасности, качества и эффективности медицинских изделий"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регистрации и экспертизы безопасности, качества и эффективности медицинских изделий, утвержденных указанным Решением,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настоящих Правил могут не применяться в отношении медицинских изделий, потребность в которых возникает или возрастает в чрезвычайных ситуациях, в условиях военных действий, угрозы распространения новых эпидемических заболеваний, представляющих опасность для окружающих, при угрозе отсутствия или отсутствии медицинских изделий на рынках государств – членов Союза (далее – государства-члены) в условиях введения ограничительных экономических мер в отношении хотя бы одного из государств-членов. Обращение таких медицинских изделий на территориях государств-членов регулируется законодательством этих государств-членов в течение действия указанных условий и устранения их последствий.".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