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c3fb" w14:textId="b88c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инфраструктуры железнодорожного транспорта" (ТР ТС 003/2011)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2023 года № 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технического регламента Таможенного союза "О безопасности инфраструктуры железнодорожного транспорта" (ТР ТС 003/2011), принятый Решением Комиссии Таможенного союза от 15 июля 2011 г. № 710,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проведения технического обслуживания и ремонта с необходимой периодичностью.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установления назначенных сроков службы и (или) назначенных ресурсов на элементы составных частей подсистем инфраструктуры железнодорожного транспорта определяется проектировщиком (разработчиком), значения данных показателей устанавливаются в конструкторской документации;".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