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010b" w14:textId="2880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емкостей для сжатого или сжиженного газа бесш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я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6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6. Предоставить тарифную льготу в виде снижения ставки ввозной таможенной пошлины Единого таможенного тарифа Евразийского экономического союза с 15% до 5% от таможенной стоимости в отношении изготовленных на территории Республики Беларусь емкостей для сжатого или сжиженного газа бесшовных, классифицируемых кодами 7311 00 110 0, 7311 00 130 0, 7311 00 190 0 и 7311 00 300 0 ТН ВЭД ЕАЭС, в количестве не более 25 тыс. шт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в отношении товаров, помещаемых (помещенных) под таможенную процедуру выпуска для внутреннего потребления в целях завершения действия таможенной процедуры свободной таможенной зоны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 с 1 января 2023 г. по 31 декабря 2023 г. включительно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при наличии документа, выданного Министерством промышленности Республики Беларусь и содержащего сведения о номенклатуре, количестве, стоимости таких товаров, а также об организации, осуществляющей их помещение под таможенную процедуру выпуска для внутреннего потреб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по уплате ввозных таможенных пошлин в отношении товаров, помещаемых (помещенных) под таможенную процедуру выпуска для внутреннего потребления с применением тарифной льготы, предусмотренной настоящим подпунктом, прекращается у декларанта при наступлении следующих обстоятельст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товаров в соответствии с таможенной процедурой выпуска для внутреннего потребления и исполнение обязанности по уплате ввозных таможенных пошлин и (или) их взыскание в размерах, исчисленных в соответствии с Таможенным кодексом Евразийского экономического союза в декларации на товары с учетом льгот по уплате ввозных таможенных пошлин в виде снижения ставки ввозной таможенной пошлин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6 Таможенного кодекса Евразийского экономического союза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января 2023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