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2d74" w14:textId="a332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20 декабря 2017 г. № 88</w:t>
      </w:r>
    </w:p>
    <w:p>
      <w:pPr>
        <w:spacing w:after="0"/>
        <w:ind w:left="0"/>
        <w:jc w:val="both"/>
      </w:pPr>
      <w:r>
        <w:rPr>
          <w:rFonts w:ascii="Times New Roman"/>
          <w:b w:val="false"/>
          <w:i w:val="false"/>
          <w:color w:val="000000"/>
          <w:sz w:val="28"/>
        </w:rPr>
        <w:t>Решение Совета Евразийской экономической комиссии от 25 января 2023 года № 18.</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подпунктами 4 и 5 </w:t>
      </w:r>
      <w:r>
        <w:rPr>
          <w:rFonts w:ascii="Times New Roman"/>
          <w:b w:val="false"/>
          <w:i w:val="false"/>
          <w:color w:val="000000"/>
          <w:sz w:val="28"/>
        </w:rPr>
        <w:t>пункта 4</w:t>
      </w:r>
      <w:r>
        <w:rPr>
          <w:rFonts w:ascii="Times New Roman"/>
          <w:b w:val="false"/>
          <w:i w:val="false"/>
          <w:color w:val="000000"/>
          <w:sz w:val="28"/>
        </w:rPr>
        <w:t xml:space="preserve"> статьи 205 Таможенного кодекса Евразийского экономического союза и </w:t>
      </w:r>
      <w:r>
        <w:rPr>
          <w:rFonts w:ascii="Times New Roman"/>
          <w:b w:val="false"/>
          <w:i w:val="false"/>
          <w:color w:val="000000"/>
          <w:sz w:val="28"/>
        </w:rPr>
        <w:t>пунктом 128</w:t>
      </w:r>
      <w:r>
        <w:rPr>
          <w:rFonts w:ascii="Times New Roman"/>
          <w:b w:val="false"/>
          <w:i w:val="false"/>
          <w:color w:val="000000"/>
          <w:vertAlign w:val="superscript"/>
        </w:rPr>
        <w:t xml:space="preserve"> </w:t>
      </w:r>
      <w:r>
        <w:rPr>
          <w:rFonts w:ascii="Times New Roman"/>
          <w:b w:val="false"/>
          <w:i w:val="false"/>
          <w:color w:val="000000"/>
          <w:sz w:val="28"/>
        </w:rPr>
        <w:t xml:space="preserve">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декабря 2017 г. № 88 "О некоторых вопросах применения таможенной процедуры свободной таможенной зоны"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Жумангарин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января 2023 г. № 18</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20 декабря 2017 г. № 88</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Решению:</w:t>
      </w:r>
    </w:p>
    <w:bookmarkEnd w:id="5"/>
    <w:bookmarkStart w:name="z11" w:id="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4</w:t>
      </w:r>
      <w:r>
        <w:rPr>
          <w:rFonts w:ascii="Times New Roman"/>
          <w:b w:val="false"/>
          <w:i w:val="false"/>
          <w:color w:val="000000"/>
          <w:sz w:val="28"/>
        </w:rPr>
        <w:t xml:space="preserve"> раздела I изложить в следующей редакции:</w:t>
      </w:r>
    </w:p>
    <w:bookmarkEnd w:id="6"/>
    <w:bookmarkStart w:name="z12" w:id="7"/>
    <w:p>
      <w:pPr>
        <w:spacing w:after="0"/>
        <w:ind w:left="0"/>
        <w:jc w:val="both"/>
      </w:pPr>
      <w:r>
        <w:rPr>
          <w:rFonts w:ascii="Times New Roman"/>
          <w:b w:val="false"/>
          <w:i w:val="false"/>
          <w:color w:val="000000"/>
          <w:sz w:val="28"/>
        </w:rPr>
        <w:t>
      "4. Срок вывоза товаров составляет не более 2 лет, за исключением вывоза товаров, связанного со строительством или ремонтом судов.</w:t>
      </w:r>
    </w:p>
    <w:bookmarkEnd w:id="7"/>
    <w:bookmarkStart w:name="z13" w:id="8"/>
    <w:p>
      <w:pPr>
        <w:spacing w:after="0"/>
        <w:ind w:left="0"/>
        <w:jc w:val="both"/>
      </w:pPr>
      <w:r>
        <w:rPr>
          <w:rFonts w:ascii="Times New Roman"/>
          <w:b w:val="false"/>
          <w:i w:val="false"/>
          <w:color w:val="000000"/>
          <w:sz w:val="28"/>
        </w:rPr>
        <w:t>
      В случае если вывоз товаров связан со строительством или ремонтом судов, срок вывоза товаров составляет не более 4 лет.";</w:t>
      </w:r>
    </w:p>
    <w:bookmarkEnd w:id="8"/>
    <w:bookmarkStart w:name="z14" w:id="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3</w:t>
      </w:r>
      <w:r>
        <w:rPr>
          <w:rFonts w:ascii="Times New Roman"/>
          <w:b w:val="false"/>
          <w:i w:val="false"/>
          <w:color w:val="000000"/>
          <w:sz w:val="28"/>
        </w:rPr>
        <w:t xml:space="preserve"> раздела II изложить в следующей редакции:</w:t>
      </w:r>
    </w:p>
    <w:bookmarkEnd w:id="9"/>
    <w:bookmarkStart w:name="z15" w:id="10"/>
    <w:p>
      <w:pPr>
        <w:spacing w:after="0"/>
        <w:ind w:left="0"/>
        <w:jc w:val="both"/>
      </w:pPr>
      <w:r>
        <w:rPr>
          <w:rFonts w:ascii="Times New Roman"/>
          <w:b w:val="false"/>
          <w:i w:val="false"/>
          <w:color w:val="000000"/>
          <w:sz w:val="28"/>
        </w:rPr>
        <w:t>
      "3. Срок обратного ввоза на территорию СЭЗ товаров и (или) срок ввоза на территорию СЭЗ товаров, изготовленных (полученных) из этих товаров в результате совершения операций по переработке (обработке) товаров, изготовлению товаров, включая сборку, монтаж, подгонку, составляет не более 2 лет, за исключением ввоза таких товаров, связанного со строительством или ремонтом судов.</w:t>
      </w:r>
    </w:p>
    <w:bookmarkEnd w:id="10"/>
    <w:bookmarkStart w:name="z16" w:id="11"/>
    <w:p>
      <w:pPr>
        <w:spacing w:after="0"/>
        <w:ind w:left="0"/>
        <w:jc w:val="both"/>
      </w:pPr>
      <w:r>
        <w:rPr>
          <w:rFonts w:ascii="Times New Roman"/>
          <w:b w:val="false"/>
          <w:i w:val="false"/>
          <w:color w:val="000000"/>
          <w:sz w:val="28"/>
        </w:rPr>
        <w:t>
      В случае если ввоз товаров связан со строительством или ремонтом судов, срок обратного ввоза на территорию СЭЗ товаров и (или) срок ввоза на территорию СЭЗ товаров, изготовленных (полученных) из этих товаров в результате совершения операций по переработке (обработке) товаров, изготовлению товаров, включая сборку, монтаж, подгонку, составляет не более 4 лет.".</w:t>
      </w:r>
    </w:p>
    <w:bookmarkEnd w:id="11"/>
    <w:bookmarkStart w:name="z17" w:id="12"/>
    <w:p>
      <w:pPr>
        <w:spacing w:after="0"/>
        <w:ind w:left="0"/>
        <w:jc w:val="both"/>
      </w:pPr>
      <w:r>
        <w:rPr>
          <w:rFonts w:ascii="Times New Roman"/>
          <w:b w:val="false"/>
          <w:i w:val="false"/>
          <w:color w:val="000000"/>
          <w:sz w:val="28"/>
        </w:rPr>
        <w:t>
      2. </w:t>
      </w:r>
      <w:r>
        <w:rPr>
          <w:rFonts w:ascii="Times New Roman"/>
          <w:b w:val="false"/>
          <w:i w:val="false"/>
          <w:color w:val="000000"/>
          <w:sz w:val="28"/>
        </w:rPr>
        <w:t>Перечень</w:t>
      </w:r>
      <w:r>
        <w:rPr>
          <w:rFonts w:ascii="Times New Roman"/>
          <w:b w:val="false"/>
          <w:i w:val="false"/>
          <w:color w:val="000000"/>
          <w:sz w:val="28"/>
        </w:rPr>
        <w:t xml:space="preserve"> территорий государств – членов Евразийского экономического союза, на которые из свободных (специальных, особых) экономических зон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утвержденный указанным Решением, в графе первой после слов "городской округ Большой камень" дополнить словами ", Владивостокский городской округ, пос. Дунай городского округа ЗАТО Фокино, Шкотовский муниципальный район, акватория морского порта Владивосток, акватория морского порта Находка".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