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4ca6" w14:textId="6214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Регламент информационного взаимодействия уполномоченных органов государств – членов Евразийского экономического союза и Евразийской экономической комиссии в сфере защиты прав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ноября 2023 года № 167.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координации действий по защите прав на объекты интеллектуальной собственности от 8 сентября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информационного взаимодействия уполномоченных органов государств – членов Евразийского экономического союза и Евразийской экономической комиссии в сфере защиты прав на объекты интеллектуальной собственности, утвержденный Решением Коллегии Евразийской экономической комиссии от 30 августа 2016 г. № 102,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"31 марта" заменить словами "1 мая";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"1 мая" заменить словами "1 ноября".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