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0eff" w14:textId="6a90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Методику оценки племенной ценности крупного рогатого скота молочного направления продуктивности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августа 2023 года № 125.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Методику оценки племенной ценности крупного рогатого скота молочного направления продуктивности,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ноября 2020 г. № 149,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г. № 125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Методику оценки племенной ценности крупного рогатого скота молочного направления продуктивности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малочисленных (генофондных) пород".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"подлежат" дополнить словами "ремонтный молодняк, нетели,".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"малочисленная (генофондная) порода" – группа редко встречающихся животных определенной породы, отличающихся генетико-селекционными особенностями и находящихся под угрозой исчезновения;".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Дополнить разделом I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Оценка племенной ценности ремонтного молодняка и нетелей молочного направления продуктивности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 Племенная ценность (EBV) ремонтного молодняка и нетелей по конкретному селекционируемому признаку определяется на основании данных родителей с учетом всех родственных связей по формуле: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3556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EBVп – прогнозируемая племенная (генетическая) ценность потомка по селекционируемому признаку;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EBVо – племенная (генетическая) ценность отца по селекционируемому признаку;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EBVм – племенная (генетическая) ценность матери по селекционируемому признаку;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– весовой коэффициент.".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 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 Племенная ценность коров и быков молочного направления продуктивности определяется по селекционируемым признакам молочной продуктивности, оценка которых проводится согласно приложению № 1, по селекционируемым признакам экстерьера, оценка которых проводится согласно приложению № 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по селекционируемым признакам воспроизводительной способности, оценка которых проводится согласно приложению № 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селекционируемым признакам здоровья вымени, оценка которых проводится согласно приложению № 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рассчитывается:".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 В предложении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"достоверности)" заменить текстом следующего содержания: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"достоверности (надежности оценки)). Сведения о степени достоверности (надежности оценки) публикуются по каждому признаку отдельно".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 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абзаце первом слово "Комплексные" заменить словами "Комплексный селекционный индекс (определяемый согласно приложению № 3)";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 </w:t>
      </w:r>
      <w:r>
        <w:rPr>
          <w:rFonts w:ascii="Times New Roman"/>
          <w:b w:val="false"/>
          <w:i w:val="false"/>
          <w:color w:val="000000"/>
          <w:sz w:val="28"/>
        </w:rPr>
        <w:t>подпунктах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"б"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"удою, молочному жиру и молочному белку" заменить словами "селекционируемым признакам".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 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 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Методике: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 При определении молочной продуктивности коров учитываются следующие селекционируемые признаки: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надоенного молока, кг;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молочного жира и белка, кг;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массовой доли жира и белка в молоке, %.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уровня продуктивности коров и качества молока за лактацию или другой период производится путем обобщения результатов регулярно проводимых контрольных доек.";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"количества" дополнить словами "соматических клеток,".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 Дополнить приложениями № 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 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 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продуктивности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коров по признакам экстерьера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систему оценки телосложения дочерей быков включены 18 селекционируемых признаков линейных промеров экстерьера коров. Для оценки линейных промеров экстерьера коров применяется 9-балльная шкала, которая должна охватывать биологический диапазон развития селекционируемых признаков в оцениваемой популяции животных.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</w:t>
      </w:r>
    </w:p>
    <w:bookmarkEnd w:id="22"/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селекционируемых признаков экстерьера коров (дочерей быков)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</w:p>
          <w:bookmarkEnd w:id="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43300" cy="152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 телосложения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угол наклона ребер и расстояние между ними)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сухой тип, плоские 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молочный тип, выражен треугольник, ребра плоские, хорошо просматриваются, диагональные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показатели выраженности признаков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ребра плохо просматриваются, округлые, их угол наклона близок к прямому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 тип, кости округлые, выражена обмускуленность, холка и ребра не просматриваются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</w:p>
          <w:bookmarkEnd w:id="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16300" cy="1308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Ширина груди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расстояние между внутренними поверхностями верхней части передних ног)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широкая и сильная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широкая и сильная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узкая и слабая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Рост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(измеряется от спины (между маклоками) до пола, результаты учитываются в баллах и сантиметрах)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высокая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низкая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</w:p>
          <w:bookmarkEnd w:id="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67100" cy="140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Глубина туловища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в области последнего ребра по расстоянию от верхней части спины до самой низкой точки живота)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мелкое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</w:p>
          <w:bookmarkEnd w:id="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941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Положение таза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наклон воображаемой линии, соединяющей маклок и седалищный бугор, горизонтальное положение таза оценивается тремя баллами)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свислый зад (10 см и более)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скошенный крестец (7 – 8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идеальный наклон (3 – 4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ровный, нет угла наклона (0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обратный, приподнятый зад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</w:p>
          <w:bookmarkEnd w:id="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41700" cy="1104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балл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баллов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баллов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Ширина таза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расстояние между наиболее выступающими назад точками седалищных бугров)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широкий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ширины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узкий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19500" cy="140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Постановка задних ног (вид сбоку)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степень изгиба задних конечностей в области скакательного сустава)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саблистые, угол менее 134 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саблистые (серповидные)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идеальный изгиб, угол 147 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изгиб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слоновая постановка, угол более 160 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</w:p>
          <w:bookmarkEnd w:id="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32200" cy="1333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Постановка задних ног (вид сзади)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степень сближенности скакательных суставов)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очень малый разворот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малый разворот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средний разворот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разворот скакательного сустава внутрь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</w:p>
          <w:bookmarkEnd w:id="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06800" cy="156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Качество костяка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строение костей задних конечностей при осмотре сзади и сбоку)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конечности плоские, скакательный сустав сухой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скакательный сустав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скакательный сустав средней толщины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утолщенный скакательный сустав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конечности цилиндрические, сильно утолщенный скакательный сустав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81400" cy="152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Угол копыта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(определяется углом, образованным передней стенкой копыта задней конечности относительно плоскости пола. При наличии различий в постановке копыт оцениваются оба и принимается к оценке средний угол)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торцовая (более 50 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(45 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высота пятки более 2 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оптимальной (40 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 (35 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(менее 30 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Глубина вымени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расстояние между нижней точкой дна вымени и воображаемой горизонтальной линией, проведенной на уровне середины скакательного сустава)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высокое (мелкое)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глубина вымени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скакательных суставов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глубокое, ниже скакательного сустава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0" cy="152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Прикрепление передних долей вымени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угол соединения передних долей вымени с животом животного. В случае если оценка признака с левой и правой сторон отличаются, учитывается худшая оценка)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оптимальное, угол более 170 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сильное, угол 150 º 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угол около 130 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слабое, угол 110 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слабое, угол 90 º 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0" cy="158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Центральная связка вымени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глубина борозды, образованной центральной поддерживающей связкой между задними четвертями вымени)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сильная борозда, основание вымени вогнутое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борозда, основание вымени вогнуто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борозда – слабо выражена, основание вымени вогнуто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 борозда, основание вымени выпуклое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слабая борозда, основание вымени выпуклое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433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Высота прикрепления задних долей вымени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расстояние между нижним краем вульвы и верхней секреторной частью вымени)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высокое прикрепление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прикрепление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средней высоты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прикрепление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низкое прикрепление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16300" cy="152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Ширина задних долей вымени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по расстоянию между верхними точками прикрепления железистой ткани задних долей вымени к внутренней стороне бедер животного)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широкие – в форме прямоугольника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ширины – форме трапеции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малой ширины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малой ширины – в форме треугольника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</w:p>
          <w:bookmarkEnd w:id="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798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балл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баллов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баллов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Расположение передних сосков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расположение передних сосков по отношению к середине соответствующей четверти вымени)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крайне близкое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сближенное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сосок расположен по центру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расширенное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широкое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94100" cy="137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Расположение задних сосков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осмотре коровы сзади определяется расположение задних сосков по отношению к середине соответствующей четверти вымени)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узкое (внутрь)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сближенное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центру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расширенное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широкое (наружу)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81400" cy="143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Длина передних сосков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длина передних сосков разная, учитывается среднее значение)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длинный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короткий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 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 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продуктивности</w:t>
            </w:r>
          </w:p>
        </w:tc>
      </w:tr>
    </w:tbl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</w:t>
      </w:r>
    </w:p>
    <w:bookmarkEnd w:id="50"/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коров и телок по признакам воспроизводительной способности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К признакам, характеризующим воспроизводительную способность телок и коров, относятся следующие селекционируемые признаки: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количество осеменений, приходящихся на одно плодотворное осеменение;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количество дней между отелом и первым осеменением;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продолжительность сервис-периода (количество дней между отелом и плодотворным осеменением);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возраст первого плодотворного осеменения телок (в днях);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межотельный период для коров (в днях);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легкость отела.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Количество осеменений, приходящихся на одно плодотворное осеменение, рассчитывается по методике, применяемой в селекционно-племенной работе в государстве – члене Евразийского экономического союза.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Оценка коров по легкости отела проводится по шкале по среднему значению (по всем отелам). Признак "легкость отела" является оценкой и коров, и дочерей быков.</w:t>
      </w:r>
    </w:p>
    <w:bookmarkEnd w:id="60"/>
    <w:bookmarkStart w:name="z8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легкости отела коров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(код)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легкости отела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отел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 (первотелка) отелилась без посторонней помощи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родовспоможение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применения специализированного инструмента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отел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применением специализированного инструмента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предлежание плода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помощь при отеле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Хирургическое вмешательство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хирургическое вмешательство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 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 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продуктивности</w:t>
            </w:r>
          </w:p>
        </w:tc>
      </w:tr>
    </w:tbl>
    <w:bookmarkStart w:name="z9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</w:t>
      </w:r>
    </w:p>
    <w:bookmarkEnd w:id="67"/>
    <w:bookmarkStart w:name="z9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коров по признакам здоровья вымени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Селекционируемым признаком здоровья вымени коров является содержание соматических клеток.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Для определения содержания соматических клеток применяется одна из следующих формул: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2987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ССК – содержание соматических клеток, выраженное в баллах;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– количество соматических клеток в 1 мл молока, рассчитанное в лаборатории по определению качества молока, аккредитованной в порядке, установленном законодательством государства – члена Евразийского экономического союза;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log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логарифм по основанию два;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100000 и 3 – коэффициенты уравнения;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=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14859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– количество соматических клеток за лактацию, тыс./см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 – ежемесячные удои коровы, кг;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КСКм – количество соматических клеток в индивидуальной пробе, измеряемой ежемесячно, на основании контрольных доек, тыс./см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 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 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Методике: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 Для расчета прогнозных значений племенной ценности коров и быков молочного направления продуктивности по разработанным оптимальным статистическим моделям применяется метод BLUP АМ.</w:t>
      </w:r>
    </w:p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Векторная форма уравнения BLUP имеет вид: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 = Xb + Za + e,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 = n × 1 – вектор наблюдений (оценок) (n – число записей);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 = p × 1 – вектор фиксированных эффектов (p – число уровней фиксированных эффектов);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 = q × 1 – вектор случайных эффектов пробандов (q – число уровней случайных эффектов);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 = n × 1 – вектор случайных эффектов;</w:t>
      </w:r>
    </w:p>
    <w:bookmarkEnd w:id="88"/>
    <w:p>
      <w:pPr>
        <w:spacing w:after="0"/>
        <w:ind w:left="0"/>
        <w:jc w:val="both"/>
      </w:pPr>
      <w:bookmarkStart w:name="z117" w:id="89"/>
      <w:r>
        <w:rPr>
          <w:rFonts w:ascii="Times New Roman"/>
          <w:b w:val="false"/>
          <w:i w:val="false"/>
          <w:color w:val="000000"/>
          <w:sz w:val="28"/>
        </w:rPr>
        <w:t>
      X – матрица порядка n × p, которая связывает оценку животных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фиксированными эффектами;</w:t>
      </w:r>
    </w:p>
    <w:p>
      <w:pPr>
        <w:spacing w:after="0"/>
        <w:ind w:left="0"/>
        <w:jc w:val="both"/>
      </w:pPr>
      <w:bookmarkStart w:name="z118" w:id="90"/>
      <w:r>
        <w:rPr>
          <w:rFonts w:ascii="Times New Roman"/>
          <w:b w:val="false"/>
          <w:i w:val="false"/>
          <w:color w:val="000000"/>
          <w:sz w:val="28"/>
        </w:rPr>
        <w:t>
      Z – матрица порядка n × q, которая связывает оценку животных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случайными эффектами.</w:t>
      </w:r>
    </w:p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Матрицы X и Z называются матрицами случаев. Предполагается, что математическое ожидание (E) переменных: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E(y) = Xb,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E(a) = E(e) = 0.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цель уравнения смешанной линейной модели − предсказать линейную функцию a и b (EBV) относительно y. 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решить уравнения смешанной линейной модели (MME) для вычисления значений b (фиксированных эффектов) и предсказать решения для значений a (случайных эффектов). Формула для биометрической модели животного (АМ) в матричном виде имеет вид: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23495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по формуле: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2082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отсюда искомые коэффициенты равны: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28829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b − лучшая линейная оценка фиксированных эффектов модели; a − лучший линейный несмещенный прогноз (BLUP) племенной ценности (EBV) животного.";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 Для прогнозирования племенной ценности используются обратная матрица родства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, метод расчета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применения матрицы А, без учета инбридинга.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собой диагональный элемент матрицы D</w:t>
      </w:r>
      <w:r>
        <w:rPr>
          <w:rFonts w:ascii="Times New Roman"/>
          <w:b w:val="false"/>
          <w:i w:val="false"/>
          <w:color w:val="000000"/>
          <w:vertAlign w:val="superscript"/>
        </w:rPr>
        <w:t>−1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i-го животного. Диагональные элементы D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равны: 2 – если известны оба родителя, 4/3 – если известен один родитель, 1 – если ни один родитель не известен.</w:t>
      </w:r>
    </w:p>
    <w:bookmarkEnd w:id="103"/>
    <w:p>
      <w:pPr>
        <w:spacing w:after="0"/>
        <w:ind w:left="0"/>
        <w:jc w:val="both"/>
      </w:pPr>
      <w:bookmarkStart w:name="z133" w:id="104"/>
      <w:r>
        <w:rPr>
          <w:rFonts w:ascii="Times New Roman"/>
          <w:b w:val="false"/>
          <w:i w:val="false"/>
          <w:color w:val="000000"/>
          <w:sz w:val="28"/>
        </w:rPr>
        <w:t>
      Первоначально элементы матрицы родства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задаются нулями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применяются следующие правила.</w:t>
      </w:r>
    </w:p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известны оба родителя i-го животного, добавляются: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 элементу (i, i);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/2 – к элементам (s, i), (i, s), (d, i) и (i, d);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/4 – к элементам (s, s), (s, d), (d, s) и (d, d).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известен один из родителей i-го животного, добавляются: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 элементу (i, i);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/2 – к элементам (s, i) и (i, s);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/4 – к элементу (s, s).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неизвестны оба родителя, добавляется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элементу (i, i).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метода BLUP АМ смешанной модели (MME) вида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24511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матрица коэффициентов имеет вид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990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6" w:id="117"/>
      <w:r>
        <w:rPr>
          <w:rFonts w:ascii="Times New Roman"/>
          <w:b w:val="false"/>
          <w:i w:val="false"/>
          <w:color w:val="000000"/>
          <w:sz w:val="28"/>
        </w:rPr>
        <w:t>
      При этом обобщенная обратная матрица коэффициентов имеет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</w:t>
      </w:r>
    </w:p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12827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 Дополнить приложением № 3 следующего содержания: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 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 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продуктивности</w:t>
            </w:r>
          </w:p>
        </w:tc>
      </w:tr>
    </w:tbl>
    <w:bookmarkStart w:name="z15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</w:p>
    <w:bookmarkEnd w:id="120"/>
    <w:bookmarkStart w:name="z15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комплексного селекционного индекса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селекционный индекс включает в себя информацию о племенной ценности (u) по нескольким селекционируемым признакам (i).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Племенная ценность (u) – это лучший линейный несмещенный прогноз (BLUP) племенной ценности (EBV) животного.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Рассчитанное числовое значение индекса (I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для каждого животного используется в селекции как основа для ранжирования животных. Конструирование селекционных индексов базируется на оценках племенной ценности (EBV).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(I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рассчитывается по следующим формулам: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35306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3327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EBV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EBV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EBV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наилучший линейный несмещенный прогноз племенной ценности животного по селекционируемому признаку, входящему в индекс.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k</w:t>
      </w:r>
      <w:r>
        <w:rPr>
          <w:rFonts w:ascii="Times New Roman"/>
          <w:b w:val="false"/>
          <w:i w:val="false"/>
          <w:color w:val="000000"/>
          <w:vertAlign w:val="sub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 k</w:t>
      </w:r>
      <w:r>
        <w:rPr>
          <w:rFonts w:ascii="Times New Roman"/>
          <w:b w:val="false"/>
          <w:i w:val="false"/>
          <w:color w:val="000000"/>
          <w:vertAlign w:val="sub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k</w:t>
      </w:r>
      <w:r>
        <w:rPr>
          <w:rFonts w:ascii="Times New Roman"/>
          <w:b w:val="false"/>
          <w:i w:val="false"/>
          <w:color w:val="000000"/>
          <w:vertAlign w:val="subscript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k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определяются на основе следующей системы уравнений: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47752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47752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4749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1816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вариансы прогноза племенной ценности по признакам 1, 2 и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901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прогнозом племенной ценности по признакам 1 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36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1 и прогнозом племенной ценности по признаку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87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2 и прогнозом племенной ценности по признаку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812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1 и прогнозом племенной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49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2 и прогнозом племенной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901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прогнозом племенной ценности по признакам 1 и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723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1 и прогнозом племенной ценности по признаку 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901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прогнозом племенной ценности по признакам 2 и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787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2 и прогнозом племенной ценности по признаку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685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i и прогнозом племенной ценности по признаку 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теоретическом аспекте построение комплексного индекса выглядит следующим образом: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14097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304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весовой коэффициент h-го признака.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Весовые коэффициенты рассчитываются по формулам: 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32004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указанных формулах матрица B составлена из векторов b(h):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2057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находятся для каждого признака из решения уравнения: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19431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4"/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444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наилучшего линейного несмещенного прогноза для каждого h-го признака;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 – вектор значения признака, а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18288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матрица коварианс между h-м и p-м признаками.".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