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eda3" w14:textId="a70e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Комиссии Таможенного союза от 20 сентября 2010 г. № 378</w:t>
      </w:r>
    </w:p>
    <w:p>
      <w:pPr>
        <w:spacing w:after="0"/>
        <w:ind w:left="0"/>
        <w:jc w:val="both"/>
      </w:pPr>
      <w:r>
        <w:rPr>
          <w:rFonts w:ascii="Times New Roman"/>
          <w:b w:val="false"/>
          <w:i w:val="false"/>
          <w:color w:val="000000"/>
          <w:sz w:val="28"/>
        </w:rPr>
        <w:t>Решение Коллегии Евразийской экономической комиссии от 22 августа 2023 года № 124.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сентября 2010 г. № 378 "О классификаторах, используемых для заполнения таможенных документов"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 за исключением пункта 1, подпункта "г" пункта 3, пунктов 5 и 6 изменений, предусмотренных приложением к настоящему Решению.</w:t>
      </w:r>
    </w:p>
    <w:bookmarkEnd w:id="2"/>
    <w:bookmarkStart w:name="z7" w:id="3"/>
    <w:p>
      <w:pPr>
        <w:spacing w:after="0"/>
        <w:ind w:left="0"/>
        <w:jc w:val="both"/>
      </w:pPr>
      <w:r>
        <w:rPr>
          <w:rFonts w:ascii="Times New Roman"/>
          <w:b w:val="false"/>
          <w:i w:val="false"/>
          <w:color w:val="000000"/>
          <w:sz w:val="28"/>
        </w:rPr>
        <w:t>
      Пункт 1, подпункт "г" пункта 3, пункты 5 и 6 изменений, предусмотренных приложением к настоящему Решению, вступают в силу по истечении 30 календарных дней с даты официального опубликования настоящего Решения, но не ранее 1 апреля 2025 г.</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27.09.2023 </w:t>
      </w:r>
      <w:r>
        <w:rPr>
          <w:rFonts w:ascii="Times New Roman"/>
          <w:b w:val="false"/>
          <w:i w:val="false"/>
          <w:color w:val="000000"/>
          <w:sz w:val="28"/>
        </w:rPr>
        <w:t>№ 146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26.03.2024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22 августа 2023 г. № 124</w:t>
            </w:r>
          </w:p>
        </w:tc>
      </w:tr>
    </w:tbl>
    <w:bookmarkStart w:name="z10" w:id="4"/>
    <w:p>
      <w:pPr>
        <w:spacing w:after="0"/>
        <w:ind w:left="0"/>
        <w:jc w:val="left"/>
      </w:pPr>
      <w:r>
        <w:rPr>
          <w:rFonts w:ascii="Times New Roman"/>
          <w:b/>
          <w:i w:val="false"/>
          <w:color w:val="000000"/>
        </w:rPr>
        <w:t xml:space="preserve"> ИЗМЕНЕНИЯ,</w:t>
      </w:r>
    </w:p>
    <w:bookmarkEnd w:id="4"/>
    <w:bookmarkStart w:name="z11" w:id="5"/>
    <w:p>
      <w:pPr>
        <w:spacing w:after="0"/>
        <w:ind w:left="0"/>
        <w:jc w:val="left"/>
      </w:pPr>
      <w:r>
        <w:rPr>
          <w:rFonts w:ascii="Times New Roman"/>
          <w:b/>
          <w:i w:val="false"/>
          <w:color w:val="000000"/>
        </w:rPr>
        <w:t xml:space="preserve"> вносимые в Решение Комиссии Таможенного союза от 20 сентября 2010 г. № 378</w:t>
      </w:r>
    </w:p>
    <w:bookmarkEnd w:id="5"/>
    <w:bookmarkStart w:name="z12" w:id="6"/>
    <w:p>
      <w:pPr>
        <w:spacing w:after="0"/>
        <w:ind w:left="0"/>
        <w:jc w:val="both"/>
      </w:pPr>
      <w:r>
        <w:rPr>
          <w:rFonts w:ascii="Times New Roman"/>
          <w:b w:val="false"/>
          <w:i w:val="false"/>
          <w:color w:val="000000"/>
          <w:sz w:val="28"/>
        </w:rPr>
        <w:t>
      1. Дополнить пунктом 2</w:t>
      </w:r>
      <w:r>
        <w:rPr>
          <w:rFonts w:ascii="Times New Roman"/>
          <w:b w:val="false"/>
          <w:i w:val="false"/>
          <w:color w:val="000000"/>
          <w:vertAlign w:val="superscript"/>
        </w:rPr>
        <w:t>4</w:t>
      </w:r>
      <w:r>
        <w:rPr>
          <w:rFonts w:ascii="Times New Roman"/>
          <w:b w:val="false"/>
          <w:i w:val="false"/>
          <w:color w:val="000000"/>
          <w:sz w:val="28"/>
        </w:rPr>
        <w:t xml:space="preserve"> следующего содержания:</w:t>
      </w:r>
    </w:p>
    <w:bookmarkEnd w:id="6"/>
    <w:bookmarkStart w:name="z13" w:id="7"/>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4</w:t>
      </w:r>
      <w:r>
        <w:rPr>
          <w:rFonts w:ascii="Times New Roman"/>
          <w:b w:val="false"/>
          <w:i w:val="false"/>
          <w:color w:val="000000"/>
          <w:sz w:val="28"/>
        </w:rPr>
        <w:t>. Утвердить классификатор случаев непредоставления обеспечения исполнения обязанности по уплате таможенных пошлин, налогов, специальных, антидемпинговых, компенсационных пошлин (Приложение 28).".</w:t>
      </w:r>
    </w:p>
    <w:bookmarkEnd w:id="7"/>
    <w:bookmarkStart w:name="z14" w:id="8"/>
    <w:p>
      <w:pPr>
        <w:spacing w:after="0"/>
        <w:ind w:left="0"/>
        <w:jc w:val="both"/>
      </w:pPr>
      <w:r>
        <w:rPr>
          <w:rFonts w:ascii="Times New Roman"/>
          <w:b w:val="false"/>
          <w:i w:val="false"/>
          <w:color w:val="000000"/>
          <w:sz w:val="28"/>
        </w:rPr>
        <w:t>
      2. Пункт 3.4.2 подраздела 3.4 классификатора льгот по уплате таможенных платежей (</w:t>
      </w:r>
      <w:r>
        <w:rPr>
          <w:rFonts w:ascii="Times New Roman"/>
          <w:b w:val="false"/>
          <w:i w:val="false"/>
          <w:color w:val="000000"/>
          <w:sz w:val="28"/>
        </w:rPr>
        <w:t>Приложение 7</w:t>
      </w:r>
      <w:r>
        <w:rPr>
          <w:rFonts w:ascii="Times New Roman"/>
          <w:b w:val="false"/>
          <w:i w:val="false"/>
          <w:color w:val="000000"/>
          <w:sz w:val="28"/>
        </w:rPr>
        <w:t>) дополнить позициями следующего содержания: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свободного склада или под таможенную процедуру свободной таможенной зоны специальной экономической зоны "Qyzyljar"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необработанных драгоценных металлов, лома и отходов драгоценных металлов и сырьевых товаров, содержащих драгоценные металлы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ввезенных налогоплательщиками, являющимися участниками международного технологического парка "Астана Хаб"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товаров, по которым изменен срок уплаты косвенных налогов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сахара-сырца тростникового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химических веществ (сырья) для производства пестицидов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произведений искусства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товаров в составе готовой продукции, произведенной на территории специальной экономической зоны или свободного склада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r>
    </w:tbl>
    <w:bookmarkStart w:name="z15" w:id="9"/>
    <w:p>
      <w:pPr>
        <w:spacing w:after="0"/>
        <w:ind w:left="0"/>
        <w:jc w:val="both"/>
      </w:pPr>
      <w:r>
        <w:rPr>
          <w:rFonts w:ascii="Times New Roman"/>
          <w:b w:val="false"/>
          <w:i w:val="false"/>
          <w:color w:val="000000"/>
          <w:sz w:val="28"/>
        </w:rPr>
        <w:t>
      3. В классификаторе видов документов и сведений (</w:t>
      </w:r>
      <w:r>
        <w:rPr>
          <w:rFonts w:ascii="Times New Roman"/>
          <w:b w:val="false"/>
          <w:i w:val="false"/>
          <w:color w:val="000000"/>
          <w:sz w:val="28"/>
        </w:rPr>
        <w:t>Приложение 8</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а) в разделе 6:</w:t>
      </w:r>
    </w:p>
    <w:bookmarkEnd w:id="10"/>
    <w:bookmarkStart w:name="z17" w:id="11"/>
    <w:p>
      <w:pPr>
        <w:spacing w:after="0"/>
        <w:ind w:left="0"/>
        <w:jc w:val="both"/>
      </w:pPr>
      <w:r>
        <w:rPr>
          <w:rFonts w:ascii="Times New Roman"/>
          <w:b w:val="false"/>
          <w:i w:val="false"/>
          <w:color w:val="000000"/>
          <w:sz w:val="28"/>
        </w:rPr>
        <w:t>
      наименование изложить в следующей редакции:</w:t>
      </w:r>
    </w:p>
    <w:bookmarkEnd w:id="11"/>
    <w:bookmarkStart w:name="z18" w:id="12"/>
    <w:p>
      <w:pPr>
        <w:spacing w:after="0"/>
        <w:ind w:left="0"/>
        <w:jc w:val="both"/>
      </w:pPr>
      <w:r>
        <w:rPr>
          <w:rFonts w:ascii="Times New Roman"/>
          <w:b w:val="false"/>
          <w:i w:val="false"/>
          <w:color w:val="000000"/>
          <w:sz w:val="28"/>
        </w:rPr>
        <w:t>
      "6. Документы о происхождении товара и иные документы, связанные с происхождением товара";</w:t>
      </w:r>
    </w:p>
    <w:bookmarkEnd w:id="12"/>
    <w:bookmarkStart w:name="z19" w:id="13"/>
    <w:p>
      <w:pPr>
        <w:spacing w:after="0"/>
        <w:ind w:left="0"/>
        <w:jc w:val="both"/>
      </w:pPr>
      <w:r>
        <w:rPr>
          <w:rFonts w:ascii="Times New Roman"/>
          <w:b w:val="false"/>
          <w:i w:val="false"/>
          <w:color w:val="000000"/>
          <w:sz w:val="28"/>
        </w:rPr>
        <w:t>
      в позиции с кодом 06011 слово "товаров" заменить словом "товара";</w:t>
      </w:r>
    </w:p>
    <w:bookmarkEnd w:id="13"/>
    <w:bookmarkStart w:name="z20" w:id="14"/>
    <w:p>
      <w:pPr>
        <w:spacing w:after="0"/>
        <w:ind w:left="0"/>
        <w:jc w:val="both"/>
      </w:pPr>
      <w:r>
        <w:rPr>
          <w:rFonts w:ascii="Times New Roman"/>
          <w:b w:val="false"/>
          <w:i w:val="false"/>
          <w:color w:val="000000"/>
          <w:sz w:val="28"/>
        </w:rPr>
        <w:t>
      позицию с кодом 06013 изложить в следующей редакции:</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происхождении товара формы "А";</w:t>
            </w:r>
          </w:p>
        </w:tc>
      </w:tr>
    </w:tbl>
    <w:bookmarkStart w:name="z21" w:id="15"/>
    <w:p>
      <w:pPr>
        <w:spacing w:after="0"/>
        <w:ind w:left="0"/>
        <w:jc w:val="both"/>
      </w:pPr>
      <w:r>
        <w:rPr>
          <w:rFonts w:ascii="Times New Roman"/>
          <w:b w:val="false"/>
          <w:i w:val="false"/>
          <w:color w:val="000000"/>
          <w:sz w:val="28"/>
        </w:rPr>
        <w:t>
      в позиции с кодом 06014 слова "общей формы" исключить;</w:t>
      </w:r>
    </w:p>
    <w:bookmarkEnd w:id="15"/>
    <w:bookmarkStart w:name="z22" w:id="16"/>
    <w:p>
      <w:pPr>
        <w:spacing w:after="0"/>
        <w:ind w:left="0"/>
        <w:jc w:val="both"/>
      </w:pPr>
      <w:r>
        <w:rPr>
          <w:rFonts w:ascii="Times New Roman"/>
          <w:b w:val="false"/>
          <w:i w:val="false"/>
          <w:color w:val="000000"/>
          <w:sz w:val="28"/>
        </w:rPr>
        <w:t>
      позицию с кодом 06999 изложить в следующей редакции:</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связанные с происхождением товара";</w:t>
            </w:r>
          </w:p>
        </w:tc>
      </w:tr>
    </w:tbl>
    <w:bookmarkStart w:name="z23" w:id="17"/>
    <w:p>
      <w:pPr>
        <w:spacing w:after="0"/>
        <w:ind w:left="0"/>
        <w:jc w:val="both"/>
      </w:pPr>
      <w:r>
        <w:rPr>
          <w:rFonts w:ascii="Times New Roman"/>
          <w:b w:val="false"/>
          <w:i w:val="false"/>
          <w:color w:val="000000"/>
          <w:sz w:val="28"/>
        </w:rPr>
        <w:t>
      б) раздел 7 после позиции с кодом 07018 дополнить позицией следующего содержания:</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размера обеспечения исполнения обязанности по уплате таможенных пошлин, налогов, специальных, антидемпинговых, компенсационных пошлин";</w:t>
            </w:r>
          </w:p>
        </w:tc>
      </w:tr>
    </w:tbl>
    <w:bookmarkStart w:name="z24" w:id="18"/>
    <w:p>
      <w:pPr>
        <w:spacing w:after="0"/>
        <w:ind w:left="0"/>
        <w:jc w:val="both"/>
      </w:pPr>
      <w:r>
        <w:rPr>
          <w:rFonts w:ascii="Times New Roman"/>
          <w:b w:val="false"/>
          <w:i w:val="false"/>
          <w:color w:val="000000"/>
          <w:sz w:val="28"/>
        </w:rPr>
        <w:t xml:space="preserve">
      в) в разделе 9: </w:t>
      </w:r>
    </w:p>
    <w:bookmarkEnd w:id="18"/>
    <w:bookmarkStart w:name="z25" w:id="19"/>
    <w:p>
      <w:pPr>
        <w:spacing w:after="0"/>
        <w:ind w:left="0"/>
        <w:jc w:val="both"/>
      </w:pPr>
      <w:r>
        <w:rPr>
          <w:rFonts w:ascii="Times New Roman"/>
          <w:b w:val="false"/>
          <w:i w:val="false"/>
          <w:color w:val="000000"/>
          <w:sz w:val="28"/>
        </w:rPr>
        <w:t>
      после позиции с кодом 09043 дополнить позицией следующего содержания:</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таможенных перевозчиков";</w:t>
            </w:r>
          </w:p>
        </w:tc>
      </w:tr>
    </w:tbl>
    <w:bookmarkStart w:name="z26" w:id="20"/>
    <w:p>
      <w:pPr>
        <w:spacing w:after="0"/>
        <w:ind w:left="0"/>
        <w:jc w:val="both"/>
      </w:pPr>
      <w:r>
        <w:rPr>
          <w:rFonts w:ascii="Times New Roman"/>
          <w:b w:val="false"/>
          <w:i w:val="false"/>
          <w:color w:val="000000"/>
          <w:sz w:val="28"/>
        </w:rPr>
        <w:t>
      после позиции с кодом 09051 дополнить позициями следующего содержания:</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о внесении изменений (дополнений) в таможенные документы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приходный ордер или иной таможенный документ, в котором исчислены суммы таможенных пошлин, налогов, уплаченных при ввозе в государство – член Евразийского экономического союза, присоединившееся к Евразийскому экономическому союзу, автомобилей легковых и прочих моторных транспортных средств, классифицируемых в товарных позициях 8702 и 8703, субпозициях 8704 21 и 8704 31 ТН ВЭД ЕАЭС, по ставкам, применяемым этим государством в соответствии с международным договором о присоединении к Евразийскому экономическому союзу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приходный ордер или иной таможенный документ, заполненный в отношении автомобилей легковых и прочих моторных транспортных средств, классифицируемых в товарных позициях 8702 и 8703, субпозициях 8704 21 и 8704 31 ТН ВЭД ЕАЭС, в целях исчисления и уплаты таможенных пошлин, налогов в размере разницы сумм, уплаченных при ввозе указанных транспортных средств в государство – член Евразийского экономического союза, присоединившееся к Евразийскому экономическому союзу, по ставкам, применяемым этим государством в соответствии с международным договором о присоединении к Евразийскому экономическому союзу, и сумм, подлежащих уплате по ставкам, установленным в соответствии с Таможенным кодексом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приходный ордер (за исключением документов, указанных в позициях с кодами 09054 и 09055)";</w:t>
            </w:r>
          </w:p>
        </w:tc>
      </w:tr>
    </w:tbl>
    <w:bookmarkStart w:name="z27" w:id="21"/>
    <w:p>
      <w:pPr>
        <w:spacing w:after="0"/>
        <w:ind w:left="0"/>
        <w:jc w:val="both"/>
      </w:pPr>
      <w:r>
        <w:rPr>
          <w:rFonts w:ascii="Times New Roman"/>
          <w:b w:val="false"/>
          <w:i w:val="false"/>
          <w:color w:val="000000"/>
          <w:sz w:val="28"/>
        </w:rPr>
        <w:t>
      г) раздел 10 после позиции с кодом 10052 дополнить позициями следующего содержания:</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таможенного органа в соответствии с классификатором таможенных органов государств – членов Евразийского экономического союза, в регионе деятельности которого товары будут храниться на таможенном складе либо в местах, не являющихся таможенными складами, в случаях, предусмотренных </w:t>
            </w:r>
            <w:r>
              <w:rPr>
                <w:rFonts w:ascii="Times New Roman"/>
                <w:b w:val="false"/>
                <w:i w:val="false"/>
                <w:color w:val="000000"/>
                <w:sz w:val="20"/>
              </w:rPr>
              <w:t>пунктом 4</w:t>
            </w:r>
            <w:r>
              <w:rPr>
                <w:rFonts w:ascii="Times New Roman"/>
                <w:b w:val="false"/>
                <w:i w:val="false"/>
                <w:color w:val="000000"/>
                <w:sz w:val="20"/>
              </w:rPr>
              <w:t xml:space="preserve"> статьи 155 Таможенного кодекса Евразийского экономического союза (для Российской Федерации)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подтверждающего включение юридического лица в реестр владельцев таможенных складов (номер свидетельства о включении юридического лица в реестр владельцев таможенных складов), или регистрационный номер юридического лица в реестре владельцев таможенных складов, или регистрационный номер сведений о включении юридического лица в реестр владельцев таможенных складов для таможенных складов открытого типа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подтверждающего включение юридического лица в реестр владельцев таможенных складов (номер свидетельства о включении юридического лица в реестр владельцев таможенных складов), или регистрационный номер юридического лица в реестре владельцев таможенных складов, или регистрационный номер сведений о включении юридического лица в реестр владельцев таможенных складов для таможенных складов закрытого типа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документа, разрешающего хранение товаров в местах, не являющихся таможенными складами, а в случае, если в соответствии с законодательством государств – членов Евразийского экономического союза ведется учет зон таможенного контроля, – номер зоны таможенного контроля (регистрационный номер зоны таможенного контроля), где будет осуществляться хранение товаров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155 Таможенного кодекса Евразийского экономического союза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подтверждающего включение юридического лица в реестр владельцев магазинов беспошлинной торговли (номер свидетельства о включении юридического лица в реестр владельцев магазинов беспошлинной торговли), или регистрационный номер юридического лица в реестре владельцев магазинов беспошлинной торговли, или регистрационный номер сведений о включении юридического лица в реестр владельцев магазинов беспошлинной торговли".</w:t>
            </w:r>
          </w:p>
        </w:tc>
      </w:tr>
    </w:tbl>
    <w:bookmarkStart w:name="z28" w:id="22"/>
    <w:p>
      <w:pPr>
        <w:spacing w:after="0"/>
        <w:ind w:left="0"/>
        <w:jc w:val="both"/>
      </w:pPr>
      <w:r>
        <w:rPr>
          <w:rFonts w:ascii="Times New Roman"/>
          <w:b w:val="false"/>
          <w:i w:val="false"/>
          <w:color w:val="000000"/>
          <w:sz w:val="28"/>
        </w:rPr>
        <w:t>
      4. Подраздел 6.3 классификатора видов налогов, сборов и иных платежей, взимание которых возложено на таможенные органы (</w:t>
      </w:r>
      <w:r>
        <w:rPr>
          <w:rFonts w:ascii="Times New Roman"/>
          <w:b w:val="false"/>
          <w:i w:val="false"/>
          <w:color w:val="000000"/>
          <w:sz w:val="28"/>
        </w:rPr>
        <w:t>Приложение 9</w:t>
      </w:r>
      <w:r>
        <w:rPr>
          <w:rFonts w:ascii="Times New Roman"/>
          <w:b w:val="false"/>
          <w:i w:val="false"/>
          <w:color w:val="000000"/>
          <w:sz w:val="28"/>
        </w:rPr>
        <w:t>), после позиции с кодом 4270 дополнить позицией следующего содержания:</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воды, включая минеральные и газированные, содержащие добавки сахара или других подслащивающих или вкусоароматических веществ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bl>
    <w:bookmarkStart w:name="z29" w:id="23"/>
    <w:p>
      <w:pPr>
        <w:spacing w:after="0"/>
        <w:ind w:left="0"/>
        <w:jc w:val="both"/>
      </w:pPr>
      <w:r>
        <w:rPr>
          <w:rFonts w:ascii="Times New Roman"/>
          <w:b w:val="false"/>
          <w:i w:val="false"/>
          <w:color w:val="000000"/>
          <w:sz w:val="28"/>
        </w:rPr>
        <w:t>
      5. Классификатор мер обеспечения соблюдения таможенного транзита (</w:t>
      </w:r>
      <w:r>
        <w:rPr>
          <w:rFonts w:ascii="Times New Roman"/>
          <w:b w:val="false"/>
          <w:i w:val="false"/>
          <w:color w:val="000000"/>
          <w:sz w:val="28"/>
        </w:rPr>
        <w:t>Приложение 18</w:t>
      </w:r>
      <w:r>
        <w:rPr>
          <w:rFonts w:ascii="Times New Roman"/>
          <w:b w:val="false"/>
          <w:i w:val="false"/>
          <w:color w:val="000000"/>
          <w:sz w:val="28"/>
        </w:rPr>
        <w:t>) признать утратившим силу.</w:t>
      </w:r>
    </w:p>
    <w:bookmarkEnd w:id="23"/>
    <w:bookmarkStart w:name="z30" w:id="24"/>
    <w:p>
      <w:pPr>
        <w:spacing w:after="0"/>
        <w:ind w:left="0"/>
        <w:jc w:val="both"/>
      </w:pPr>
      <w:r>
        <w:rPr>
          <w:rFonts w:ascii="Times New Roman"/>
          <w:b w:val="false"/>
          <w:i w:val="false"/>
          <w:color w:val="000000"/>
          <w:sz w:val="28"/>
        </w:rPr>
        <w:t xml:space="preserve">
      6. Дополнить Приложением 28 следующего содержания: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28</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20 сентября 2010 г. № 378</w:t>
            </w:r>
          </w:p>
        </w:tc>
      </w:tr>
    </w:tbl>
    <w:bookmarkStart w:name="z32" w:id="25"/>
    <w:p>
      <w:pPr>
        <w:spacing w:after="0"/>
        <w:ind w:left="0"/>
        <w:jc w:val="left"/>
      </w:pPr>
      <w:r>
        <w:rPr>
          <w:rFonts w:ascii="Times New Roman"/>
          <w:b/>
          <w:i w:val="false"/>
          <w:color w:val="000000"/>
        </w:rPr>
        <w:t xml:space="preserve"> КЛАССИФИКАТОР</w:t>
      </w:r>
    </w:p>
    <w:bookmarkEnd w:id="25"/>
    <w:bookmarkStart w:name="z33" w:id="26"/>
    <w:p>
      <w:pPr>
        <w:spacing w:after="0"/>
        <w:ind w:left="0"/>
        <w:jc w:val="left"/>
      </w:pPr>
      <w:r>
        <w:rPr>
          <w:rFonts w:ascii="Times New Roman"/>
          <w:b/>
          <w:i w:val="false"/>
          <w:color w:val="000000"/>
        </w:rPr>
        <w:t xml:space="preserve"> случаев непредоставления обеспечения исполнения обязанности по уплате таможенных пошлин, налогов, специальных, антидемпинговых, компенсационных пошлин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случаев непредоставления обеспечения исполнения обязанности по уплате таможенных пошлин, налогов, специальных, антидемпинговых, компенсационных пошлин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обеспечения исполнения обязанности по уплате таможенных пошлин, налогов и размер обеспечения исполнения обязанности по уплате специальных, антидемпинговых, компенсационных пошлин, если предоставление такого обеспечения является условием помещения товаров под таможенную процедуру таможенного транзита в соответствии с </w:t>
            </w:r>
            <w:r>
              <w:rPr>
                <w:rFonts w:ascii="Times New Roman"/>
                <w:b w:val="false"/>
                <w:i w:val="false"/>
                <w:color w:val="000000"/>
                <w:sz w:val="20"/>
              </w:rPr>
              <w:t>подпунктом 2</w:t>
            </w:r>
            <w:r>
              <w:rPr>
                <w:rFonts w:ascii="Times New Roman"/>
                <w:b w:val="false"/>
                <w:i w:val="false"/>
                <w:color w:val="000000"/>
                <w:sz w:val="20"/>
              </w:rPr>
              <w:t xml:space="preserve"> пункта 1 статьи 143 Таможенного кодекса Евразийского экономического союза, в совокупности не превышают суммы, эквивалентной 500 евро по курсу валют, действующему на день регистрации транзитной декларации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декларанта товаров, помещаемых под таможенную процедуру таможенного транзита, выступает таможенный перевозчик, осуществляющий перевозку (транспортировку) декларируемых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декларанта товаров, помещаемых под таможенную процедуру таможенного транзита, выступает уполномоченный экономический оператор, имеющий свидетельство о включении в реестр уполномоченных экономических операторов первого или третьего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перевозятся железнодорожным транспортом, за исключением случая, когда такая перевозка (транспортировка) является частью перевозки (транспортировки) товаров с использованием двух и более видов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перевозятся воздушным транспортом, за исключением случая, когда такая перевозка (транспортировка) является частью перевозки (транспортировки) товаров с использованием двух и более видов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перемещаются трубопроводным транспортом, за исключением случая, когда такая перевозка (транспортировка) является частью перевозки (транспортировки) товаров с использованием двух и более видов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помещаемые под таможенную процедуру таможенного транзита, перевозятся водными судами, в том числе судами смешанного (река – море) плавания, между морскими портами государства – члена Евразийского экономического союза и (или) государств – членов Евразийского экономического союза без захода во внутренние водные пути государства – члена Евразийского экономического союза и (или) государств – членов Евразийского экономического союза, за исключением случая, когда такая перевозка является частью перевозки товаров с использованием двух и более видов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декларанта товаров Евразийского экономического союза, помещаемых под таможенную процедуру таможенного транзита, выступает лицо государства – члена Евразийского экономического союза, у которого в государстве – члене Евразийского экономического союза, в котором товары Евразийского экономического союза помещаются под таможенную процедуру таможенного транзита, на день регистрации транзитной декларации отсутствует не исполненная в установленный срок обязанность по уплате таможенных пошлин, налогов, специальных, антидемпинговых, компенсационных пошлин, процентов, пеней, а также, если это предусмотрено законодательством государства – члена Евразийского экономического союза, на территории которого товары Евразийского экономического союза помещаются под таможенную процедуру таможенного транзита, отсутствуют не уплаченные в установленный срок административные штрафы, назначенные на основании вступивших в законную силу решений суда или уполномоченного органа (должностного лица) о привлечении к административной ответственности по делам об административных правонарушениях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Таможенным органом принято решение о применении таможенного сопровождения в отношении товаров, помещаемых под таможенную процедуру таможенного транзита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предназначены для официального пользования дипломатическими представительствами и консульскими учреждениями, расположенными на таможенной территории Евразийского экономического союза, о чем в таможенном органе отправления по каждой конкретной перевозке имеется информация министерства иностранных дел государства – члена Евразийского экономического союза, в котором находится таможенный орган отправления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предназначены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иными организациями или их представительствами, расположенными на таможенной территории Евразийского экономического союза, о чем в таможенном органе отправления по каждой конкретной перевозке имеется информация министерства иностранных дел государства – члена Евразийского экономического союза, в котором находится таможенный орган отправления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предназначены для личного пользования, включая товары для первоначального обзаведения, сотрудников дипломатических представительств, работников консульских учреждений, персонала (сотрудников, должностных лиц)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Евразийского экономического союза, а также членов их семей, о чем в таможенном органе отправления по каждой конкретной перевозке имеется информация министерства иностранных дел государства – члена Евразийского экономического союза, в котором находится таможенный орган отправления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предназначены для использования в культурных, научно-исследовательских целях, проведения спортивных соревнований либо подготовки к ним, ликвидации последствий стихийных бедствий, аварий, катастроф, обеспечения обороноспособности и государственной (национальной) безопасности государств – членов Евразийского экономического союза, переоснащения их вооруженных сил, защиты государственных границ государств – членов Евразийского экономического союза, использования государственными органами государств – членов Евразийского экономического союза, о чем имеется подтверждение соответствующего государственного органа заинтересованного государства – члена Евразийского экономического союза, ходатайствующего о выпуске таких товаров без предоставления обеспечения исполнения обязанности по уплате таможенных пошлин, налогов и (или) без предоставления обеспечения исполнения обязанности по уплате специальных, антидемпинговых, компенсационных пошлин, представленное определенным Евразийской экономической комиссией таможенным органом государства – члена Евразийского экономического союза, на территории которого находится таможенный орган назначения, в определенный Евразийской экономической комиссией таможенный орган государства – члена Евразийского экономического союза, на территории которого расположен таможенный орган отправления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Таможенное декларирование товаров, помещаемых под таможенную процедуру таможенного транзита и перевозимых автомобильным транспортом, осуществлено с особенностями, определенными </w:t>
            </w:r>
            <w:r>
              <w:rPr>
                <w:rFonts w:ascii="Times New Roman"/>
                <w:b w:val="false"/>
                <w:i w:val="false"/>
                <w:color w:val="000000"/>
                <w:sz w:val="20"/>
              </w:rPr>
              <w:t>статьей 114</w:t>
            </w:r>
            <w:r>
              <w:rPr>
                <w:rFonts w:ascii="Times New Roman"/>
                <w:b w:val="false"/>
                <w:i w:val="false"/>
                <w:color w:val="000000"/>
                <w:sz w:val="20"/>
              </w:rPr>
              <w:t xml:space="preserve"> Таможенного кодекса Евразийского экономического союза, с целью их помещения под таможенную процедуру выпуска для внутреннего потребления и в отношении таких товаров уплачены таможенные пошлины, налоги, специальные, антидемпинговые, компенсационные пошлины, в случае, если перевозка в соответствии с таможенной процедурой таможенного транзита будет осуществляться только по территории государства – члена Евразийского экономического союза, в котором подана декларация на товары, и если декларантом товаров, помещаемых под таможенную процедуру таможенного транзита, и декларантом товаров, помещаемых под таможенную процедуру выпуска для внутреннего потребления, является одно и то же лицо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Декларантом международных почтовых отправлений при их помещении под таможенную процедуру таможенного транзита выступает назначенный оператор почтовой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почтовые отправления, помещаемые под таможенную процедуру таможенного транзита, подлежат доставке в место (учреждение) международного почтового обмена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для личного пользования, помещаемые под таможенную процедуру таможенного транзита в соответствии со </w:t>
            </w:r>
            <w:r>
              <w:rPr>
                <w:rFonts w:ascii="Times New Roman"/>
                <w:b w:val="false"/>
                <w:i w:val="false"/>
                <w:color w:val="000000"/>
                <w:sz w:val="20"/>
              </w:rPr>
              <w:t>статьей 263</w:t>
            </w:r>
            <w:r>
              <w:rPr>
                <w:rFonts w:ascii="Times New Roman"/>
                <w:b w:val="false"/>
                <w:i w:val="false"/>
                <w:color w:val="000000"/>
                <w:sz w:val="20"/>
              </w:rPr>
              <w:t xml:space="preserve"> Таможенного кодекса Евразийского экономического союза, ввозятся на таможенную территорию Евразийского экономического союза иностранными физическими лицами, переселившимися на постоянное место жительства в государство – член Евразийского экономического союза либо получившими статус беженца, вынужденного переселенца в соответствии с законодательством этого государства – члена Евразийского экономического союза, при условии представления документов, подтверждающих такое признание либо такой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для личного пользования, помещаемые под таможенную процедуру таможенного транзита в соответствии со </w:t>
            </w:r>
            <w:r>
              <w:rPr>
                <w:rFonts w:ascii="Times New Roman"/>
                <w:b w:val="false"/>
                <w:i w:val="false"/>
                <w:color w:val="000000"/>
                <w:sz w:val="20"/>
              </w:rPr>
              <w:t>статьей 263</w:t>
            </w:r>
            <w:r>
              <w:rPr>
                <w:rFonts w:ascii="Times New Roman"/>
                <w:b w:val="false"/>
                <w:i w:val="false"/>
                <w:color w:val="000000"/>
                <w:sz w:val="20"/>
              </w:rPr>
              <w:t xml:space="preserve"> Таможенного кодекса Евразийского экономического союза, ввозятся на таможенную территорию Евразийского экономического союза иностранными физическими лицами, имеющими намерение переселиться на постоянное место жительства в государство – член Евразийского экономического союза, получить статус беженца, вынужденного переселенца в соответствии с законодательством этого государства – члена Евразийского экономического союза, при условии представления документов, подтверждающих такое намерение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личного пользования, указанные в подпункте 3 пункта 1 статьи 263 Таможенного кодекса Евразийского экономического союза, помещаемые под таможенную процедуру таможенного транзита в соответствии со статьей 263 Таможенного кодекса Евразийского экономического союза, ввозятся на таможенную территорию Евразийского экономического союза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 – членов Евразийского экономического союза, главами консульских учреждений и иными консульскими должностными лицами, консульскими служащими консульских учреждений государств – членов Евразийского экономического союза, сотрудниками представительств государств – членов Евразийского экономического союза при международных организациях, расположенных за пределами таможенной территории Евразийского экономического союза, проживающими вместе с ними членами их семей либо действующими от имени и по поручению таких лиц иными лицами при условии представления документов, выдаваемых в соответствии с законодательством государств – членов Евразийского экономического союза, подтверждающих соблюдение условий ввоза с освобождением от уплаты таможенных пошлин, налогов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для личного пользования, указанные в </w:t>
            </w:r>
            <w:r>
              <w:rPr>
                <w:rFonts w:ascii="Times New Roman"/>
                <w:b w:val="false"/>
                <w:i w:val="false"/>
                <w:color w:val="000000"/>
                <w:sz w:val="20"/>
              </w:rPr>
              <w:t>подпункте 4</w:t>
            </w:r>
            <w:r>
              <w:rPr>
                <w:rFonts w:ascii="Times New Roman"/>
                <w:b w:val="false"/>
                <w:i w:val="false"/>
                <w:color w:val="000000"/>
                <w:sz w:val="20"/>
              </w:rPr>
              <w:t xml:space="preserve"> пункта 1 статьи 263 Таможенного кодекса Евразийского экономического союза, помещаемые под таможенную процедуру таможенного транзита в соответствии со </w:t>
            </w:r>
            <w:r>
              <w:rPr>
                <w:rFonts w:ascii="Times New Roman"/>
                <w:b w:val="false"/>
                <w:i w:val="false"/>
                <w:color w:val="000000"/>
                <w:sz w:val="20"/>
              </w:rPr>
              <w:t>статьей 263</w:t>
            </w:r>
            <w:r>
              <w:rPr>
                <w:rFonts w:ascii="Times New Roman"/>
                <w:b w:val="false"/>
                <w:i w:val="false"/>
                <w:color w:val="000000"/>
                <w:sz w:val="20"/>
              </w:rPr>
              <w:t xml:space="preserve"> Таможенного кодекса Евразийского экономического союза, ввозятся на таможенную территорию Евразийского экономического союза сотрудниками дипломатических представительств, работниками консульских учреждений, персоналом (сотрудниками, должностными лицами)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Евразийского экономического союза, проживающими вместе с ними членами их семей при условии подтверждения, что они являются такими сотрудниками, работниками, персоналом или членами их семей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для личного пользования, указанные в </w:t>
            </w:r>
            <w:r>
              <w:rPr>
                <w:rFonts w:ascii="Times New Roman"/>
                <w:b w:val="false"/>
                <w:i w:val="false"/>
                <w:color w:val="000000"/>
                <w:sz w:val="20"/>
              </w:rPr>
              <w:t>подпункте 5</w:t>
            </w:r>
            <w:r>
              <w:rPr>
                <w:rFonts w:ascii="Times New Roman"/>
                <w:b w:val="false"/>
                <w:i w:val="false"/>
                <w:color w:val="000000"/>
                <w:sz w:val="20"/>
              </w:rPr>
              <w:t xml:space="preserve"> пункта 1 статьи 263 Таможенного кодекса Евразийского экономического союза, помещаемые под таможенную процедуру таможенного транзита в соответствии со </w:t>
            </w:r>
            <w:r>
              <w:rPr>
                <w:rFonts w:ascii="Times New Roman"/>
                <w:b w:val="false"/>
                <w:i w:val="false"/>
                <w:color w:val="000000"/>
                <w:sz w:val="20"/>
              </w:rPr>
              <w:t>статьей 263</w:t>
            </w:r>
            <w:r>
              <w:rPr>
                <w:rFonts w:ascii="Times New Roman"/>
                <w:b w:val="false"/>
                <w:i w:val="false"/>
                <w:color w:val="000000"/>
                <w:sz w:val="20"/>
              </w:rPr>
              <w:t xml:space="preserve"> Таможенного кодекса Евразийского экономического союза, ввозятся на таможенную территорию Евразийского экономического союза главами дипломатических представительств и консульских учреждений, членами дипломатического персонала дипломатических представительств и консульскими должностными лицами консульских учреждений, проживающими вместе с ними членами их семей при условии подтверждения, что они являются такими лицами или членами их семей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непредоставления обеспечения исполнения обязанности по уплате таможенных пошлин, налогов, специальных, антидемпинговых, компенсационных пошлин, установленные законодательством государства – члена Евразийского экономического союза, в котором товары помещаются под таможенную процедуру таможенного транзита, если перевозка (транспортировка) товаров осуществляется по территории этого государства – члена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в отношении товаров, помещаемых под таможенную процедуру таможенного транзита, предусмотренные международными договорами в рамках Евразийского экономического союза и (или) международными договорами государств – членов Евразийского экономического союза с третьей стороной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непредоставления обеспечения исполнения обязанности по уплате таможенных пошлин, налогов, специальных, антидемпинговых, компенсационных пошлин, установленные законодательством государства – члена Евразийского экономического союза, в котором товары для личного пользования помещаются под таможенную процедуру таможенного транзита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непредоставления обеспечения исполнения обязанности по уплате таможенных пошлин, налогов, специальных, антидемпинговых, компенсационных пошлин, установленные Евразийской экономической комиссией в соответствии с абзацем третьим </w:t>
            </w:r>
            <w:r>
              <w:rPr>
                <w:rFonts w:ascii="Times New Roman"/>
                <w:b w:val="false"/>
                <w:i w:val="false"/>
                <w:color w:val="000000"/>
                <w:sz w:val="20"/>
              </w:rPr>
              <w:t>подпункта 1</w:t>
            </w:r>
            <w:r>
              <w:rPr>
                <w:rFonts w:ascii="Times New Roman"/>
                <w:b w:val="false"/>
                <w:i w:val="false"/>
                <w:color w:val="000000"/>
                <w:sz w:val="20"/>
              </w:rPr>
              <w:t xml:space="preserve"> пункта 1 статьи 304 Таможенного кодекса Евразийского экономического союза".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