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5529" w14:textId="6365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металлопроката с полимерным покрытием, происходящего из Китайской Народной Республики и ввозимого на таможенную территорию Евразийского экономического союза, и признании утратившим силу Решения Коллегии Евразийской экономической комиссии от 29 ноября 2022 г.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расследования, проведенного в связи с истечением срока действия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Продлить по 17 июля 2028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49, в отношении ввозимого на таможенную территорию Евразийского экономического союза металлопроката с полимерным покрытием, происходящего из Китайской Народной Республики.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взимание антидемпинговой пошлины в размере,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мая 2012 г. № 49;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осуществление зачета сумм антидемпинговой пошлины, уплаченной (взысканной) в соответствии с Решением Коллегии Евразийской экономической комиссии от 29 ноября 2022 г. № 186 в порядке, установленном для взимания предварительных антидемпинговых пошлин, в антидемпинговую пошлину и зачисление на единый счет уполномоченного органа того государства – члена Евразийского экономического союза, в котором она была уплачена (взыскана).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ноября 2022 г. № 186 "О продлении действия антидемпинговой меры в отношении металлопроката с полимерным покрытием, происходящего из Китайской Народной Республики и ввозимого на таможенную территорию Евразийского экономического союза".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