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4d9f" w14:textId="636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2023 года № 90.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радиоэлектронных средств и высокочастотных устройств гражданского назначения, в том числе встроенных либо входящих в состав других товаров (приложение № 15 к Решению Коллегии Евразийской экономической комиссии от 21 апреля 2015 г. № 30),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Ввоз радиоэлектронных средств и (или)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– члена Союза (далее – государство-член) заключения (разрешительного документа), за исключением случаев, указанных в абзацах втором и третьем настоящего пункта.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Обратный ввоз на таможенную территорию Союза радиоэлектронных средств и (или) высокочастотных устройств физическими лицами в качестве товаров для личного пользования, ранее временно вывезенных с таможенной территории Союза, осуществляется при представлении таможенному органу государства-члена пассажирской таможенной декларации, оформленной при вывозе указанных радиоэлектронных средств и (или) высокочастотных устройств и содержащей их идентификационные признаки (наименование, модель и полоса радиочастоты).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физическими лицами в качестве товаров для личного пользования радиоэлектронных средств и (или) высокочастотных устройств, включенных в единый реестр или в перечень, предусмотренный приложением № 2 к настоящему Положению, осуществляется без представления таможенному органу государства-члена заключения (разрешительного документа) и пассажирской таможенной декларации.".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