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06a2" w14:textId="9db0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июня 2023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заполнения декларации на товары,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"О форме декларации на товары и порядке ее заполнения",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1 апреля 2025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г. № 88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заполнения декларации на товары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абзацем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завершении действия заявленной таможенной процедуры беспошлинной торговли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246 Кодекса – товары, указанные в пункте 41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подпункте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первый (после таблицы)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сорок третьего (после таблицы) дополнить абзацами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помещении товаров под таможенную процедуру таможенного склада указываются следующие сведения: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заявляемый срок хранения товаров (ХХ.ХХ.ХХХХ – день, месяц, год)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Кодекса, а в отношении товаров, имеющих ограниченный срок годности и (или) реализации, – иной срок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таможенного органа в соответствии с классификатором таможенных органов государств – членов Евразийского экономического союза, в регионе деятельности которого товары будут храниться на таможенном складе либо в местах, не являющихся таможенными складами,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(указывается при таможенном декларировании в Российской Федерации);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подтверждающего включение юридического лица в реестр владельцев таможенных складов (номер свидетельства о включении юридического лица в реестр владельцев таможенных складов), или регистрационный номер юридического лица в реестре владельцев таможенных складов, или регистрационный номер сведений о включении юридического лица в реестр владельцев таможенных складов;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документа, разрешающего хранение товаров в местах, не являющихся таможенными складами, а в случае если в соответствии с законодательством государств – членов Союза ведется учет зон таможенного контроля, – номер зоны таможенного контроля (регистрационный номер зоны таможенного контроля), где будет осуществляться хранение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товаров под таможенную процедуру беспошлинной торговли – номер документа, подтверждающего включение юридического лица в реестр владельцев магазинов беспошлинной торговли (номер свидетельства о включении юридического лица в реестр владельцев магазинов беспошлинной торговли), или регистрационный номер юридического лица в реестре владельцев магазинов беспошлинной торговли, или регистрационный номер сведений о включении юридического лица в реестр владельцев магазинов беспошлинной торговли.".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разделом X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"X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 Особенности заполнения ДТ при таможенном декларировании иностранных товаров в соответствии с таможенной процедурой выпуска для внутреннего потребления при завершении действия заявленной таможенной процедуры беспошлинной торговли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246 Кодекса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При завершении действия заявленной таможенной процедуры беспошлинной торговли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246 Кодекса для целей настоящего раздела как одна товарная партия рассматриваются иностранные товары, помещенные под таможенную процедуру беспошлинной торговли в рамках исполнения обязательств по одному или более договорам (контрактам), реализованные декларантом таможенной процедуры беспошлинной торговли в одном магазине беспошлинной торговли физическим лицам, выезжающим из одного государства – члена Союза в другое государство – член Союза, и физическим лицам, въезжающим в одно государство – член Союза из другого государства – члена Союза, помещаемые под таможенную процедуру выпуска для внутреннего потребления.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. При таможенном декларировании указанных в пункте 41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иностранных товаров декларантом не заполняются графы 11, 22, 23 и 42 ДТ, а в графе 8 ДТ указываются сведения из графы 14 ДТ.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графы ДТ заполняются в соответствии с разделом II настоящего Порядка.".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