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cedf" w14:textId="c94c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поливитаминных, витаминных препаратов и поливитаминных комплексов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марта 2023 года № 44.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Препараты, состоящие из смешанных или несмешанных продуктов, содержащие в качестве активного действующего вещества витамин или смесь витаминов, а также вспомогательные вещества, расфасованные в виде дозированных лекарственных форм или в формы или упаковки для розничной продажи, предназначенные для лечения или профилактики конкретных заболеваний, вызванных недостаточностью витаминов, в суточной дозе которых содержится количество как минимум одного активного действующего вещества, превышающее верхний допустимый уровень потребления для взрослых, установленный для данного вещества приложением 5 к разделу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299, в соответствии с Основными правилами интерпретации Товарной номенклатуры внешнеэкономической деятельности 1 и 6 классифицируются в субпозиции 3004 50 000 единой Товарной номенклатуры внешнеэкономической деятельности Евразийского экономического союза.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Препараты для наружного применения (например, в виде крема), предназначенные для ухода за кожей (в том числе для ее увлажнения, заживления, восстановления при повреждениях (ранах, трещинах, солнечных и термических ожогах)), содержащие в качестве активного действующего вещества производное витамина и вспомогательные вещества, в соответствии с Основными правилами интерпретации Товарной номенклатуры внешнеэкономической деятельности 1 и 6 классифицируются в субпозиции 3304 99 000 0 единой Товарной номенклатуры внешнеэкономической деятельности Евразийского экономического союза.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Поливитаминные комплексы, состоящие из смеси витаминов, содержащие вкусоароматические, питательные и другие вещества (за исключением предназначенных для внутривенного введения), рекомендуемые для сбалансированного дополнения к питанию взрослых при повышенной потребности организма в витаминах, в суточной дозе которых количество каждого отдельного витамина не превышает верхний допустимый уровень потребления для взрослых, установленный для данного вещества приложением 5 к разделу 1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в соответствии с Основным правилом интерпретации Товарной номенклатуры внешнеэкономической деятельности 1 классифицируются в товарной позиции 2106 единой Товарной номенклатуры внешнеэкономической деятельности Евразийского экономического союза.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