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dcbc" w14:textId="b85d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уникального номера перевозки объектов отслеживания, осуществляемой с применением навигационных пломб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марта 2023 года № 40.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пункта 4 статьи 7 Соглашения о применении в Евразийском экономическом союзе навигационных пломб для отслеживания перевозок, подписанного 19 апреля 2022 г.,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уникальный номер перевозки объектов отслеживания, осуществляемой с применением навигационных пломб, имеет следующую структуру 36-символьного идентификатора, сгенерированного (сформированного) в соответствии с реализацией стандарта UUID (Universally Unique IDentifier):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xxxxxxxx-xxxx-xxxx-xxxx-xxxxxxxxxxxx, где: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"х" может принимать одно из следующих значений: A, B, C, D, E, F, a, b, c, d, e, f, 0, 1, 2, 3, 4, 5, 6, 7, 8, 9;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"-" – дефис.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но не ранее даты вступления в силу Соглашения о применении в Евразийском экономическом союзе навигационных пломб для отслеживания перевозок, подписанного 19 апреля 2022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