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8bac" w14:textId="6178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Программу 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марта 2023 года № 23.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Программу 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 и осуществления оценки соответствия объектов технического регулирования,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15 января 2019 г. № 4,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2023 г. № 23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Программу 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 и осуществления оценки соответствия объектов технического регулирования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Позиции 1 – 5, 7 – 10, 12 – 16, 18, 21 – 24, 26, 30, 35, 39, 41, 42, 47, 49, 53 – 55, 57, 58, 60, 62, 66 и 68 исключить.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позициях 6, 25, 27, 31, 45, 46, 48, 50, 56, 64 и 65: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графе 5 цифры "2018" заменить цифрами "2022";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графе 6 цифры "2020" заменить цифрами "2024".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позициях 11, 17, 19, 20, 43, 59, 61, 63 и 67: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графе 5 цифры "2018" заменить цифрами "2023";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графе 6 цифры "2020" заменить цифрами "2024".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позициях 28, 33, 38 и 40: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графе 5 цифры "2018" заменить цифрами "2024";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графе 6 цифры "2020" заменить цифрами "2025".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позициях 29, 32, 34, 51 и 52: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графе 5 цифры "2018" заменить цифрами "2026";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графе 6 цифры "2020" заменить цифрами "2027".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позициях 36, 37 и 44: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графе 5 цифры "2018" заменить цифрами "2027";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графе 6 цифры "2020" заменить цифрами "2028".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позициях 48 и 56 в графе 7 слова "Республика Беларусь" заменить словами "Республика Казахстан".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позиции 67 в графе 3 слова "Вода питьевая. Метод определения яиц гельминтов. Разработка ГОСТ на основе МУК 4.2.2314-08" заменить словами "Вода питьевая. Методы санитарно-паразитологического анализа воды. Разработка ГОСТ на основе МУК 4.2.2314-08".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Дополнить позициями 69 – 100 следующего содержания: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ионов кальция и магния.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23268.5-78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7 раздела II, пункт 10 раздела III, пункт 26 раздела VI, пункты 38 и 48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раздела VII,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ионов натрия.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23268.6-78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ионов калия.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23268.7-78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гидрокарбонат-ионов.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23268.3-78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сульфат-ионов.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23268.4-78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хлорид-ионов.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23268.17-78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07.100.20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санитарно-бактериологического анализа.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18963-73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 –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минеральные питьевые лечебные, лечебно-столовые и природные столовые. Правила приемки и методы отбора проб.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23268.0-91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Общие требования к отбору проб.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59024-2020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Минерализация проб смесью соляной и азотной кислот для определения некоторых элементов.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ИСО 15587-1-2014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Минерализация проб азотной кислотой для определения некоторых элементов.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ИСО 15587-2-2014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минеральные питьевые лечебные, лечебно-столовые и природные столовые. Методы определения фторид-ионов.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23268.18-78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бромид-ионов.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23268.15-78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 определения двуокиси углерода.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23268.2-91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ионов железа.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23268.11-78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1, таблица 1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минеральные питьевые лечебные, лечебно-столовые и природные столовые. Методы определения ионов мышьяка.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23268.14-78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1, таблица 1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Методы определения содержания общей ртути беспламенной атомно-абсорбционной спектрометрией.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ГОСТ 31950-2012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1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2, таблица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цианидов.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31863-2012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нитрат-ионов.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23268.9-78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питьевые лечебные, лечебно-столовые и природные столовые. Методы определения нитрит-ионов.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23268.8-78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массовой концентрации селена.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19413-89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содержания свинца, цинка, серебра.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18293-72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содержания остаточного активного хлора.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18190-72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позиции 2 и 3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 V таблицы 1 приложения №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содержания бенз(а)пирена.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31860-2012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4 раздела VI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измерений массовой концентрации хлороформа в пробах питьевых, природных и сточных вод методом газовой хроматографии.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аттестованной методики (номер в реестре ФР.1.31.2021.40831)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позиции 5, 6, 10,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и 23 раздела VI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содержания поверхноcтно-активных веществ.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31857-2012     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16 раздела VI таблицы 1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минеральные питьевые лечебные, лечебно-столовые и природные столовые. Методы определения ионов аммония.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23268.10-78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1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Вода. Методы определения фосфорсодержащих веществ.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18309-2014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минеральные питьевые лечебные, лечебно-столовые и природные столовые. Методы определения органолептических показателей и объема воды в бутылках.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23268.1-91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минеральные питьевые лечебные, лечебно-столовые и природные столовые. Методы определения ионов серебра.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23268.13-78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минеральные питьевые лечебные, лечебно-столовые и природные столовые. Методы определения перманганатной окисляемости.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23268.12-78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воды. Определение спор сульфитредуцирующих клостридий.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МУК 4.2.1018-01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2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