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5734" w14:textId="8745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нормативных правовых актах государств - членов Евразийского экономического союза в сфере естественных монополий, которые подлежат сближению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25 декабря 2023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гармонизации законодательства государств - членов Евразийского экономического союза (далее - государства-члены) в сфере естественных монополий: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Государствам-членам обеспечить проведение работы по внесению изменений в свое законодательство, в том числе по разработке нормативных правовых актов, направленных на сближение правового регулирования, предусмотренного нормативными правовыми актами в сфере естественных монополий, указанных в перечне, размещенном на официальном сайте Евразийского экономического союза по адресу: https://eec.eaeunion.org/upload/files/transport/project_07_2023.pdf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государствами-членами представить в первом полугодии 2028 г. для рассмотрения Высшим Евразийским экономическим советом информацию о результатах мониторинга исполнения государствами- членами пункта 1 настоящего распоряжения.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